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4639" w14:textId="179AACEC" w:rsidR="0011798C" w:rsidRPr="00D55D2D" w:rsidRDefault="0011798C" w:rsidP="00D55D2D">
      <w:pPr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D55D2D">
        <w:rPr>
          <w:rFonts w:asciiTheme="majorHAnsi" w:hAnsiTheme="majorHAnsi"/>
          <w:b/>
          <w:color w:val="000000" w:themeColor="text1"/>
          <w:sz w:val="24"/>
          <w:szCs w:val="24"/>
        </w:rPr>
        <w:t xml:space="preserve">HISTOIRE THEORIE CRITIQUE </w:t>
      </w:r>
    </w:p>
    <w:p w14:paraId="6BD3045F" w14:textId="152DFDEA" w:rsidR="0011798C" w:rsidRPr="00D55D2D" w:rsidRDefault="0011798C" w:rsidP="00D55D2D">
      <w:pPr>
        <w:ind w:firstLine="708"/>
        <w:rPr>
          <w:rFonts w:asciiTheme="majorHAnsi" w:hAnsiTheme="majorHAnsi" w:cs="Times New Roman"/>
          <w:sz w:val="16"/>
          <w:szCs w:val="16"/>
          <w:lang w:val="fr-BE"/>
        </w:rPr>
      </w:pPr>
      <w:r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>Module 01. (ARCH-P7125) (</w:t>
      </w:r>
      <w:proofErr w:type="spellStart"/>
      <w:r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>coord</w:t>
      </w:r>
      <w:proofErr w:type="spellEnd"/>
      <w:r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 xml:space="preserve">. J.D. Bergilez) – 10 ECTS </w:t>
      </w:r>
      <w:r w:rsidRPr="00D55D2D">
        <w:rPr>
          <w:rFonts w:asciiTheme="majorHAnsi" w:hAnsiTheme="majorHAnsi" w:cs="Times New Roman"/>
          <w:bCs/>
          <w:sz w:val="16"/>
          <w:szCs w:val="16"/>
          <w:lang w:val="fr-BE"/>
        </w:rPr>
        <w:t>« </w:t>
      </w:r>
      <w:r w:rsidRPr="00D55D2D">
        <w:rPr>
          <w:rFonts w:asciiTheme="majorHAnsi" w:hAnsiTheme="majorHAnsi" w:cs="Times New Roman"/>
          <w:sz w:val="16"/>
          <w:szCs w:val="16"/>
        </w:rPr>
        <w:t>Culture architecturale contemporaine. Belgique »</w:t>
      </w:r>
    </w:p>
    <w:p w14:paraId="195BA088" w14:textId="71744BF2" w:rsidR="0011798C" w:rsidRPr="00D55D2D" w:rsidRDefault="0011798C" w:rsidP="00D55D2D">
      <w:pPr>
        <w:ind w:firstLine="708"/>
        <w:rPr>
          <w:rFonts w:asciiTheme="majorHAnsi" w:hAnsiTheme="majorHAnsi" w:cs="Times New Roman"/>
          <w:color w:val="000000" w:themeColor="text1"/>
          <w:sz w:val="16"/>
          <w:szCs w:val="16"/>
          <w:lang w:val="fr-BE"/>
        </w:rPr>
      </w:pPr>
      <w:r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>Module 02. (ARCH-P8125) (</w:t>
      </w:r>
      <w:proofErr w:type="spellStart"/>
      <w:r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>coord</w:t>
      </w:r>
      <w:proofErr w:type="spellEnd"/>
      <w:r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 xml:space="preserve">. J.D. Bergilez) – 10 ECTS « Sur un état de la </w:t>
      </w:r>
      <w:r w:rsidR="00D205C0"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>théorie de l’architecture aux XX</w:t>
      </w:r>
      <w:r w:rsidR="00D205C0"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vertAlign w:val="superscript"/>
          <w:lang w:val="fr-BE"/>
        </w:rPr>
        <w:t>e</w:t>
      </w:r>
      <w:r w:rsidR="00D205C0"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 xml:space="preserve"> et XX</w:t>
      </w:r>
      <w:r w:rsidR="00D205C0"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vertAlign w:val="superscript"/>
          <w:lang w:val="fr-BE"/>
        </w:rPr>
        <w:t>e</w:t>
      </w:r>
      <w:r w:rsidR="00D205C0"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 xml:space="preserve"> siècles » </w:t>
      </w:r>
      <w:r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 xml:space="preserve"> </w:t>
      </w:r>
    </w:p>
    <w:p w14:paraId="6B2A4A29" w14:textId="1DF5B668" w:rsidR="0011798C" w:rsidRPr="00D55D2D" w:rsidRDefault="0011798C" w:rsidP="00D55D2D">
      <w:pPr>
        <w:ind w:firstLine="708"/>
        <w:rPr>
          <w:rFonts w:asciiTheme="majorHAnsi" w:hAnsiTheme="majorHAnsi" w:cs="Times New Roman"/>
          <w:color w:val="000000" w:themeColor="text1"/>
          <w:sz w:val="16"/>
          <w:szCs w:val="16"/>
          <w:lang w:val="fr-BE"/>
        </w:rPr>
      </w:pPr>
      <w:r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>Module 03. (ARCH-P7126) (</w:t>
      </w:r>
      <w:proofErr w:type="spellStart"/>
      <w:r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>coord</w:t>
      </w:r>
      <w:proofErr w:type="spellEnd"/>
      <w:r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 xml:space="preserve">. V. </w:t>
      </w:r>
      <w:proofErr w:type="spellStart"/>
      <w:r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>Brunetta</w:t>
      </w:r>
      <w:proofErr w:type="spellEnd"/>
      <w:r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 xml:space="preserve">) – 10 ECTS </w:t>
      </w:r>
      <w:r w:rsidR="00D205C0" w:rsidRPr="00D55D2D">
        <w:rPr>
          <w:rFonts w:asciiTheme="majorHAnsi" w:hAnsiTheme="majorHAnsi" w:cs="Times New Roman"/>
          <w:bCs/>
          <w:color w:val="000000" w:themeColor="text1"/>
          <w:sz w:val="16"/>
          <w:szCs w:val="16"/>
          <w:lang w:val="fr-BE"/>
        </w:rPr>
        <w:t>« Approfondissements »</w:t>
      </w:r>
    </w:p>
    <w:p w14:paraId="506BEF0B" w14:textId="77777777" w:rsidR="0011798C" w:rsidRPr="00D55D2D" w:rsidRDefault="0011798C" w:rsidP="00D55D2D">
      <w:pPr>
        <w:ind w:left="1134"/>
        <w:rPr>
          <w:rFonts w:asciiTheme="majorHAnsi" w:hAnsiTheme="majorHAnsi" w:cs="Times New Roman"/>
          <w:color w:val="000000" w:themeColor="text1"/>
          <w:sz w:val="16"/>
          <w:szCs w:val="16"/>
          <w:u w:val="single"/>
          <w:lang w:val="fr-BE"/>
        </w:rPr>
      </w:pPr>
    </w:p>
    <w:p w14:paraId="5692B0AC" w14:textId="77777777" w:rsidR="00D205C0" w:rsidRDefault="00D205C0" w:rsidP="00D55D2D">
      <w:pPr>
        <w:textAlignment w:val="baseline"/>
        <w:rPr>
          <w:rFonts w:asciiTheme="majorHAnsi" w:hAnsiTheme="majorHAnsi" w:cs="Times New Roman"/>
          <w:b/>
          <w:sz w:val="20"/>
          <w:szCs w:val="20"/>
          <w:lang w:val="fr-BE"/>
        </w:rPr>
      </w:pPr>
    </w:p>
    <w:p w14:paraId="3EE714F1" w14:textId="1106EF32" w:rsidR="00D55D2D" w:rsidRPr="00D55D2D" w:rsidRDefault="00C84E3C" w:rsidP="00D55D2D">
      <w:pPr>
        <w:textAlignment w:val="baseline"/>
        <w:rPr>
          <w:rFonts w:asciiTheme="majorHAnsi" w:hAnsiTheme="majorHAnsi" w:cs="Times New Roman"/>
          <w:b/>
          <w:sz w:val="20"/>
          <w:szCs w:val="20"/>
          <w:lang w:val="fr-BE"/>
        </w:rPr>
      </w:pPr>
      <w:r>
        <w:rPr>
          <w:rFonts w:asciiTheme="majorHAnsi" w:hAnsiTheme="majorHAnsi" w:cs="Times New Roman"/>
          <w:b/>
          <w:sz w:val="20"/>
          <w:szCs w:val="20"/>
          <w:lang w:val="fr-BE"/>
        </w:rPr>
        <w:t xml:space="preserve"> </w:t>
      </w:r>
    </w:p>
    <w:p w14:paraId="17120B71" w14:textId="77777777" w:rsidR="00BF7E07" w:rsidRDefault="00D205C0" w:rsidP="00D55D2D">
      <w:pPr>
        <w:textAlignment w:val="baseline"/>
        <w:rPr>
          <w:rFonts w:asciiTheme="majorHAnsi" w:hAnsiTheme="majorHAnsi" w:cs="Times New Roman"/>
          <w:b/>
          <w:sz w:val="20"/>
          <w:szCs w:val="20"/>
          <w:lang w:val="fr-BE"/>
        </w:rPr>
      </w:pPr>
      <w:r w:rsidRPr="00D55D2D">
        <w:rPr>
          <w:rFonts w:asciiTheme="majorHAnsi" w:hAnsiTheme="majorHAnsi" w:cs="Times New Roman"/>
          <w:b/>
          <w:sz w:val="20"/>
          <w:szCs w:val="20"/>
          <w:lang w:val="fr-BE"/>
        </w:rPr>
        <w:t xml:space="preserve">Histoire, Théorie, Critique, tels sont les trois grands axes </w:t>
      </w:r>
      <w:r w:rsidR="00BF7E07">
        <w:rPr>
          <w:rFonts w:asciiTheme="majorHAnsi" w:hAnsiTheme="majorHAnsi" w:cs="Times New Roman"/>
          <w:b/>
          <w:sz w:val="20"/>
          <w:szCs w:val="20"/>
          <w:lang w:val="fr-BE"/>
        </w:rPr>
        <w:t>des enseignements</w:t>
      </w:r>
      <w:r w:rsidRPr="00D55D2D">
        <w:rPr>
          <w:rFonts w:asciiTheme="majorHAnsi" w:hAnsiTheme="majorHAnsi" w:cs="Times New Roman"/>
          <w:b/>
          <w:sz w:val="20"/>
          <w:szCs w:val="20"/>
          <w:lang w:val="fr-BE"/>
        </w:rPr>
        <w:t xml:space="preserve"> HTC au sein duquel sont proposés trois modules </w:t>
      </w:r>
      <w:r w:rsidR="00D55D2D" w:rsidRPr="00D55D2D">
        <w:rPr>
          <w:rFonts w:asciiTheme="majorHAnsi" w:hAnsiTheme="majorHAnsi" w:cs="Times New Roman"/>
          <w:b/>
          <w:sz w:val="20"/>
          <w:szCs w:val="20"/>
          <w:lang w:val="fr-BE"/>
        </w:rPr>
        <w:t>de « Q</w:t>
      </w:r>
      <w:r w:rsidRPr="00D55D2D">
        <w:rPr>
          <w:rFonts w:asciiTheme="majorHAnsi" w:hAnsiTheme="majorHAnsi" w:cs="Times New Roman"/>
          <w:b/>
          <w:sz w:val="20"/>
          <w:szCs w:val="20"/>
          <w:lang w:val="fr-BE"/>
        </w:rPr>
        <w:t>uestions d’architecture »</w:t>
      </w:r>
      <w:r w:rsidR="00BF7E07">
        <w:rPr>
          <w:rFonts w:asciiTheme="majorHAnsi" w:hAnsiTheme="majorHAnsi" w:cs="Times New Roman"/>
          <w:b/>
          <w:sz w:val="20"/>
          <w:szCs w:val="20"/>
          <w:lang w:val="fr-BE"/>
        </w:rPr>
        <w:t>.</w:t>
      </w:r>
    </w:p>
    <w:p w14:paraId="04EB6BC9" w14:textId="2DD484F0" w:rsidR="00D205C0" w:rsidRPr="00D55D2D" w:rsidRDefault="00BF7E07" w:rsidP="00D55D2D">
      <w:pPr>
        <w:textAlignment w:val="baseline"/>
        <w:rPr>
          <w:rFonts w:asciiTheme="majorHAnsi" w:hAnsiTheme="majorHAnsi" w:cs="Times New Roman"/>
          <w:b/>
          <w:sz w:val="20"/>
          <w:szCs w:val="20"/>
          <w:lang w:val="fr-BE"/>
        </w:rPr>
      </w:pPr>
      <w:r>
        <w:rPr>
          <w:rFonts w:asciiTheme="majorHAnsi" w:hAnsiTheme="majorHAnsi" w:cs="Times New Roman"/>
          <w:b/>
          <w:sz w:val="20"/>
          <w:szCs w:val="20"/>
          <w:lang w:val="fr-BE"/>
        </w:rPr>
        <w:t xml:space="preserve">En écho, l’atelier vertical </w:t>
      </w:r>
      <w:r w:rsidRPr="00BF7E07">
        <w:rPr>
          <w:rFonts w:asciiTheme="majorHAnsi" w:hAnsiTheme="majorHAnsi" w:cs="Times New Roman"/>
          <w:b/>
          <w:i/>
          <w:iCs/>
          <w:sz w:val="20"/>
          <w:szCs w:val="20"/>
          <w:lang w:val="fr-BE"/>
        </w:rPr>
        <w:t>Pratiques Critiques</w:t>
      </w:r>
      <w:r>
        <w:rPr>
          <w:rFonts w:asciiTheme="majorHAnsi" w:hAnsiTheme="majorHAnsi" w:cs="Times New Roman"/>
          <w:b/>
          <w:sz w:val="20"/>
          <w:szCs w:val="20"/>
          <w:lang w:val="fr-BE"/>
        </w:rPr>
        <w:t xml:space="preserve"> offre un environnement pédagogique complémentaire propice à l’expérimentation par le projet. </w:t>
      </w:r>
    </w:p>
    <w:p w14:paraId="57BE656B" w14:textId="77777777" w:rsidR="0011798C" w:rsidRDefault="0011798C" w:rsidP="00D55D2D">
      <w:pPr>
        <w:rPr>
          <w:rFonts w:asciiTheme="majorHAnsi" w:hAnsiTheme="majorHAnsi" w:cs="Times New Roman"/>
          <w:color w:val="000000" w:themeColor="text1"/>
          <w:sz w:val="16"/>
          <w:szCs w:val="16"/>
          <w:u w:val="single"/>
          <w:lang w:val="fr-BE"/>
        </w:rPr>
      </w:pPr>
    </w:p>
    <w:p w14:paraId="421B31CD" w14:textId="77777777" w:rsidR="00D55D2D" w:rsidRPr="00D55D2D" w:rsidRDefault="00D55D2D" w:rsidP="00D55D2D">
      <w:pPr>
        <w:rPr>
          <w:rFonts w:asciiTheme="majorHAnsi" w:hAnsiTheme="majorHAnsi" w:cs="Times New Roman"/>
          <w:color w:val="000000" w:themeColor="text1"/>
          <w:sz w:val="16"/>
          <w:szCs w:val="16"/>
          <w:u w:val="single"/>
          <w:lang w:val="fr-BE"/>
        </w:rPr>
      </w:pPr>
    </w:p>
    <w:p w14:paraId="1D2BCCDB" w14:textId="77777777" w:rsidR="0011798C" w:rsidRPr="00D55D2D" w:rsidRDefault="0011798C" w:rsidP="00D55D2D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55D2D">
        <w:rPr>
          <w:rFonts w:asciiTheme="majorHAnsi" w:hAnsiTheme="majorHAnsi"/>
          <w:b/>
          <w:color w:val="000000" w:themeColor="text1"/>
          <w:sz w:val="20"/>
          <w:szCs w:val="20"/>
        </w:rPr>
        <w:t>OBJECTIFS</w:t>
      </w:r>
    </w:p>
    <w:p w14:paraId="345EA4DB" w14:textId="77777777" w:rsidR="0011798C" w:rsidRPr="00D55D2D" w:rsidRDefault="0011798C" w:rsidP="00D55D2D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val="fr-BE"/>
        </w:rPr>
      </w:pPr>
    </w:p>
    <w:p w14:paraId="61F80F52" w14:textId="77777777" w:rsidR="00D205C0" w:rsidRPr="00D55D2D" w:rsidRDefault="00D205C0" w:rsidP="00D55D2D">
      <w:pPr>
        <w:rPr>
          <w:rFonts w:asciiTheme="majorHAnsi" w:hAnsiTheme="majorHAnsi" w:cs="Arial"/>
          <w:color w:val="000000" w:themeColor="text1"/>
          <w:sz w:val="20"/>
          <w:szCs w:val="20"/>
          <w:lang w:val="fr-BE"/>
        </w:rPr>
      </w:pPr>
      <w:r w:rsidRPr="00D55D2D">
        <w:rPr>
          <w:rFonts w:asciiTheme="majorHAnsi" w:eastAsia="Times New Roman" w:hAnsiTheme="majorHAnsi" w:cs="Arial"/>
          <w:color w:val="000000" w:themeColor="text1"/>
          <w:sz w:val="20"/>
          <w:szCs w:val="20"/>
          <w:lang w:val="fr-BE"/>
        </w:rPr>
        <w:t>Le projet pédagogique HTC</w:t>
      </w:r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 entend apporter aux </w:t>
      </w:r>
      <w:proofErr w:type="spellStart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>étudiant.e.s</w:t>
      </w:r>
      <w:proofErr w:type="spellEnd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 une contribution réflexive et critique dans le cadre de leur cursus et de leur formation en histoire, en théorie et composition architecturales. Plus spécifiquement, il entend s’attacher au </w:t>
      </w:r>
      <w:r w:rsidRPr="00D55D2D">
        <w:rPr>
          <w:rFonts w:asciiTheme="majorHAnsi" w:hAnsiTheme="majorHAnsi" w:cs="Arial"/>
          <w:iCs/>
          <w:color w:val="000000" w:themeColor="text1"/>
          <w:sz w:val="20"/>
          <w:szCs w:val="20"/>
          <w:lang w:val="fr-BE"/>
        </w:rPr>
        <w:t>développement</w:t>
      </w:r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, chez les </w:t>
      </w:r>
      <w:proofErr w:type="spellStart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>étudiant.e.s</w:t>
      </w:r>
      <w:proofErr w:type="spellEnd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>, </w:t>
      </w:r>
      <w:r w:rsidRPr="00D55D2D">
        <w:rPr>
          <w:rFonts w:asciiTheme="majorHAnsi" w:hAnsiTheme="majorHAnsi" w:cs="Arial"/>
          <w:iCs/>
          <w:color w:val="000000" w:themeColor="text1"/>
          <w:sz w:val="20"/>
          <w:szCs w:val="20"/>
          <w:lang w:val="fr-BE"/>
        </w:rPr>
        <w:t>d’une attitude réflexive enrichissant leurs approches de la pratique et de la théorie de l’architecture, informée par une culture architecturale ancrée dans l’histoire contemporaine de l’architecture.</w:t>
      </w:r>
    </w:p>
    <w:p w14:paraId="1BC2BA5E" w14:textId="77777777" w:rsidR="0011798C" w:rsidRPr="00D55D2D" w:rsidRDefault="0011798C" w:rsidP="00D55D2D">
      <w:pPr>
        <w:rPr>
          <w:rFonts w:asciiTheme="majorHAnsi" w:hAnsiTheme="majorHAnsi" w:cs="Arial"/>
          <w:color w:val="000000" w:themeColor="text1"/>
          <w:sz w:val="20"/>
          <w:szCs w:val="20"/>
          <w:lang w:val="fr-BE"/>
        </w:rPr>
      </w:pPr>
    </w:p>
    <w:p w14:paraId="1874631F" w14:textId="77777777" w:rsidR="0011798C" w:rsidRPr="00D55D2D" w:rsidRDefault="0011798C" w:rsidP="00D55D2D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Cet objectif se décline par le biais d’une attention portée à deux conditions spécifiques de cette culture : </w:t>
      </w:r>
    </w:p>
    <w:p w14:paraId="440B4DDD" w14:textId="77777777" w:rsidR="0011798C" w:rsidRPr="00D55D2D" w:rsidRDefault="0011798C" w:rsidP="00D55D2D">
      <w:pPr>
        <w:pStyle w:val="Paragraphedeliste"/>
        <w:numPr>
          <w:ilvl w:val="0"/>
          <w:numId w:val="3"/>
        </w:numPr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55D2D">
        <w:rPr>
          <w:rFonts w:asciiTheme="majorHAnsi" w:hAnsiTheme="majorHAnsi"/>
          <w:color w:val="000000" w:themeColor="text1"/>
          <w:sz w:val="20"/>
          <w:szCs w:val="20"/>
        </w:rPr>
        <w:t>le</w:t>
      </w:r>
      <w:proofErr w:type="gramEnd"/>
      <w:r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 territoire architectural et culturel belge de ces 4 dernières décennies ;</w:t>
      </w:r>
    </w:p>
    <w:p w14:paraId="00B6FA92" w14:textId="77777777" w:rsidR="0011798C" w:rsidRPr="00D55D2D" w:rsidRDefault="0011798C" w:rsidP="00D55D2D">
      <w:pPr>
        <w:pStyle w:val="Paragraphedeliste"/>
        <w:numPr>
          <w:ilvl w:val="0"/>
          <w:numId w:val="3"/>
        </w:numPr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55D2D">
        <w:rPr>
          <w:rFonts w:asciiTheme="majorHAnsi" w:hAnsiTheme="majorHAnsi"/>
          <w:color w:val="000000" w:themeColor="text1"/>
          <w:sz w:val="20"/>
          <w:szCs w:val="20"/>
        </w:rPr>
        <w:t>les</w:t>
      </w:r>
      <w:proofErr w:type="gramEnd"/>
      <w:r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 histoires et théories de l’architecture de la seconde moitié du XX</w:t>
      </w:r>
      <w:r w:rsidRPr="00D55D2D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e</w:t>
      </w:r>
      <w:r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 et du début du XXI</w:t>
      </w:r>
      <w:r w:rsidRPr="00D55D2D"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e</w:t>
      </w:r>
      <w:r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 siècles.</w:t>
      </w:r>
    </w:p>
    <w:p w14:paraId="06B75A01" w14:textId="77777777" w:rsidR="0011798C" w:rsidRPr="00D55D2D" w:rsidRDefault="0011798C" w:rsidP="00D55D2D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43049D39" w14:textId="34EC6ACC" w:rsidR="0011798C" w:rsidRPr="00D55D2D" w:rsidRDefault="00872CB9" w:rsidP="00D55D2D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Cet enseignement prend la forme, dans le cadre des « Questions d’architecture », d’un projet pédagogique construit </w:t>
      </w:r>
      <w:r w:rsidR="0011798C"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autour d’un séminaire thématique </w:t>
      </w:r>
      <w:proofErr w:type="spellStart"/>
      <w:r w:rsidR="0011798C" w:rsidRPr="00D55D2D">
        <w:rPr>
          <w:rFonts w:asciiTheme="majorHAnsi" w:hAnsiTheme="majorHAnsi"/>
          <w:color w:val="000000" w:themeColor="text1"/>
          <w:sz w:val="20"/>
          <w:szCs w:val="20"/>
        </w:rPr>
        <w:t>quadrimestriel</w:t>
      </w:r>
      <w:proofErr w:type="spellEnd"/>
      <w:r w:rsidR="0011798C" w:rsidRPr="00D55D2D">
        <w:rPr>
          <w:rFonts w:asciiTheme="majorHAnsi" w:hAnsiTheme="majorHAnsi"/>
          <w:color w:val="000000" w:themeColor="text1"/>
          <w:sz w:val="20"/>
          <w:szCs w:val="20"/>
        </w:rPr>
        <w:t>. Il définit le cadre de recherches individuelles menées sur l’ensemble de la période. Il est accompagné, sur l’ensemble de l’offre pédagogique HTC</w:t>
      </w:r>
      <w:r w:rsidR="00D55D2D" w:rsidRPr="00D55D2D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11798C"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 de quelques enseignements plus spécifiques à propos de</w:t>
      </w:r>
    </w:p>
    <w:p w14:paraId="23107647" w14:textId="6CC9D9A4" w:rsidR="0011798C" w:rsidRPr="00D55D2D" w:rsidRDefault="0011798C" w:rsidP="00D55D2D">
      <w:pPr>
        <w:pStyle w:val="Paragraphedeliste"/>
        <w:numPr>
          <w:ilvl w:val="0"/>
          <w:numId w:val="3"/>
        </w:numPr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55D2D">
        <w:rPr>
          <w:rFonts w:asciiTheme="majorHAnsi" w:hAnsiTheme="majorHAnsi"/>
          <w:color w:val="000000" w:themeColor="text1"/>
          <w:sz w:val="20"/>
          <w:szCs w:val="20"/>
        </w:rPr>
        <w:t>l’histoire</w:t>
      </w:r>
      <w:proofErr w:type="gramEnd"/>
      <w:r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 contemporaine de l’architecture en Belgique (depuis 1983)</w:t>
      </w:r>
      <w:r w:rsidR="00872CB9">
        <w:rPr>
          <w:rFonts w:asciiTheme="majorHAnsi" w:hAnsiTheme="majorHAnsi"/>
          <w:color w:val="000000" w:themeColor="text1"/>
          <w:sz w:val="20"/>
          <w:szCs w:val="20"/>
        </w:rPr>
        <w:t xml:space="preserve"> (I &amp; II)</w:t>
      </w:r>
      <w:r w:rsidRPr="00D55D2D"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14:paraId="4996466D" w14:textId="77777777" w:rsidR="0011798C" w:rsidRPr="00D55D2D" w:rsidRDefault="0011798C" w:rsidP="00D55D2D">
      <w:pPr>
        <w:pStyle w:val="Paragraphedeliste"/>
        <w:numPr>
          <w:ilvl w:val="0"/>
          <w:numId w:val="3"/>
        </w:numPr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55D2D">
        <w:rPr>
          <w:rFonts w:asciiTheme="majorHAnsi" w:hAnsiTheme="majorHAnsi"/>
          <w:color w:val="000000" w:themeColor="text1"/>
          <w:sz w:val="20"/>
          <w:szCs w:val="20"/>
        </w:rPr>
        <w:t>la</w:t>
      </w:r>
      <w:proofErr w:type="gramEnd"/>
      <w:r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 critique architecturale et ses modes d’écriture,</w:t>
      </w:r>
    </w:p>
    <w:p w14:paraId="2518AC20" w14:textId="77777777" w:rsidR="0011798C" w:rsidRPr="00D55D2D" w:rsidRDefault="0011798C" w:rsidP="00D55D2D">
      <w:pPr>
        <w:pStyle w:val="Paragraphedeliste"/>
        <w:numPr>
          <w:ilvl w:val="0"/>
          <w:numId w:val="3"/>
        </w:numPr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55D2D">
        <w:rPr>
          <w:rFonts w:asciiTheme="majorHAnsi" w:hAnsiTheme="majorHAnsi"/>
          <w:color w:val="000000" w:themeColor="text1"/>
          <w:sz w:val="20"/>
          <w:szCs w:val="20"/>
        </w:rPr>
        <w:t>les</w:t>
      </w:r>
      <w:proofErr w:type="gramEnd"/>
      <w:r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 écrits d’architectes comme éléments participant à l’historiographie de l’architecture,</w:t>
      </w:r>
    </w:p>
    <w:p w14:paraId="3E900A03" w14:textId="77777777" w:rsidR="0011798C" w:rsidRPr="00D55D2D" w:rsidRDefault="0011798C" w:rsidP="00D55D2D">
      <w:pPr>
        <w:pStyle w:val="Paragraphedeliste"/>
        <w:numPr>
          <w:ilvl w:val="0"/>
          <w:numId w:val="3"/>
        </w:numPr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D55D2D">
        <w:rPr>
          <w:rFonts w:asciiTheme="majorHAnsi" w:hAnsiTheme="majorHAnsi"/>
          <w:color w:val="000000" w:themeColor="text1"/>
          <w:sz w:val="20"/>
          <w:szCs w:val="20"/>
        </w:rPr>
        <w:t>l’actualité</w:t>
      </w:r>
      <w:proofErr w:type="gramEnd"/>
      <w:r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 architecturale.</w:t>
      </w:r>
    </w:p>
    <w:p w14:paraId="36DCEC62" w14:textId="77777777" w:rsidR="0011798C" w:rsidRPr="00D55D2D" w:rsidRDefault="0011798C" w:rsidP="00D55D2D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54653687" w14:textId="77777777" w:rsidR="0011798C" w:rsidRPr="00D55D2D" w:rsidRDefault="0011798C" w:rsidP="00D55D2D">
      <w:pPr>
        <w:rPr>
          <w:rFonts w:asciiTheme="majorHAnsi" w:hAnsiTheme="majorHAnsi" w:cs="Arial"/>
          <w:color w:val="000000" w:themeColor="text1"/>
          <w:sz w:val="20"/>
          <w:szCs w:val="20"/>
          <w:lang w:val="fr-BE"/>
        </w:rPr>
      </w:pPr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>Cet ensemble pédagogique entend ainsi</w:t>
      </w:r>
    </w:p>
    <w:p w14:paraId="49E9CB75" w14:textId="77777777" w:rsidR="0011798C" w:rsidRPr="00D55D2D" w:rsidRDefault="0011798C" w:rsidP="00D55D2D">
      <w:pPr>
        <w:pStyle w:val="Paragraphedeliste"/>
        <w:numPr>
          <w:ilvl w:val="0"/>
          <w:numId w:val="3"/>
        </w:numPr>
        <w:rPr>
          <w:rFonts w:asciiTheme="majorHAnsi" w:hAnsiTheme="majorHAnsi" w:cs="Arial"/>
          <w:color w:val="000000" w:themeColor="text1"/>
          <w:sz w:val="20"/>
          <w:szCs w:val="20"/>
          <w:lang w:val="fr-BE"/>
        </w:rPr>
      </w:pPr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conforter les connaissances des </w:t>
      </w:r>
      <w:proofErr w:type="spellStart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>étudiant.e.s</w:t>
      </w:r>
      <w:proofErr w:type="spellEnd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 en matière d’histoire et de théorie contemporaines de l’architecture ;</w:t>
      </w:r>
    </w:p>
    <w:p w14:paraId="292F2F5B" w14:textId="77777777" w:rsidR="0011798C" w:rsidRPr="00D55D2D" w:rsidRDefault="0011798C" w:rsidP="00D55D2D">
      <w:pPr>
        <w:pStyle w:val="Paragraphedeliste"/>
        <w:numPr>
          <w:ilvl w:val="0"/>
          <w:numId w:val="3"/>
        </w:numPr>
        <w:rPr>
          <w:rFonts w:asciiTheme="majorHAnsi" w:hAnsiTheme="majorHAnsi" w:cs="Arial"/>
          <w:color w:val="000000" w:themeColor="text1"/>
          <w:sz w:val="20"/>
          <w:szCs w:val="20"/>
          <w:lang w:val="fr-BE"/>
        </w:rPr>
      </w:pPr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conforter les connaissances des </w:t>
      </w:r>
      <w:proofErr w:type="spellStart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>étudiant.e.s</w:t>
      </w:r>
      <w:proofErr w:type="spellEnd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 en matière de culture architecturale belge ;</w:t>
      </w:r>
    </w:p>
    <w:p w14:paraId="12388676" w14:textId="77777777" w:rsidR="0011798C" w:rsidRPr="00D55D2D" w:rsidRDefault="0011798C" w:rsidP="00D55D2D">
      <w:pPr>
        <w:pStyle w:val="Paragraphedeliste"/>
        <w:numPr>
          <w:ilvl w:val="0"/>
          <w:numId w:val="3"/>
        </w:numPr>
        <w:rPr>
          <w:rFonts w:asciiTheme="majorHAnsi" w:hAnsiTheme="majorHAnsi" w:cs="Arial"/>
          <w:color w:val="000000" w:themeColor="text1"/>
          <w:sz w:val="20"/>
          <w:szCs w:val="20"/>
          <w:lang w:val="fr-BE"/>
        </w:rPr>
      </w:pPr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offrir un cadre pédagogique propice à l’apprentissage de l’écriture </w:t>
      </w:r>
      <w:r w:rsidRPr="00D55D2D">
        <w:rPr>
          <w:rFonts w:asciiTheme="majorHAnsi" w:hAnsiTheme="majorHAnsi" w:cs="Arial"/>
          <w:i/>
          <w:color w:val="000000" w:themeColor="text1"/>
          <w:sz w:val="20"/>
          <w:szCs w:val="20"/>
          <w:lang w:val="fr-BE"/>
        </w:rPr>
        <w:t>sur</w:t>
      </w:r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 l’architecture ;</w:t>
      </w:r>
    </w:p>
    <w:p w14:paraId="1D8B0C86" w14:textId="77777777" w:rsidR="0011798C" w:rsidRPr="00D55D2D" w:rsidRDefault="0011798C" w:rsidP="00D55D2D">
      <w:pPr>
        <w:pStyle w:val="Paragraphedeliste"/>
        <w:numPr>
          <w:ilvl w:val="0"/>
          <w:numId w:val="3"/>
        </w:numPr>
        <w:rPr>
          <w:rFonts w:asciiTheme="majorHAnsi" w:hAnsiTheme="majorHAnsi" w:cs="Arial"/>
          <w:color w:val="000000" w:themeColor="text1"/>
          <w:sz w:val="20"/>
          <w:szCs w:val="20"/>
          <w:lang w:val="fr-BE"/>
        </w:rPr>
      </w:pPr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plus fondamentalement, ouvrir les </w:t>
      </w:r>
      <w:proofErr w:type="spellStart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>étudiant.e.s</w:t>
      </w:r>
      <w:proofErr w:type="spellEnd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 à l’apprentissage de l’architecture dans ses multiples dimensions, envisagée à la lumière des humanités architecturales ;</w:t>
      </w:r>
    </w:p>
    <w:p w14:paraId="7A6C383C" w14:textId="77777777" w:rsidR="0011798C" w:rsidRPr="00D55D2D" w:rsidRDefault="0011798C" w:rsidP="00D55D2D">
      <w:pPr>
        <w:pStyle w:val="Paragraphedeliste"/>
        <w:numPr>
          <w:ilvl w:val="0"/>
          <w:numId w:val="3"/>
        </w:numPr>
        <w:rPr>
          <w:rFonts w:asciiTheme="majorHAnsi" w:hAnsiTheme="majorHAnsi" w:cs="Arial"/>
          <w:color w:val="000000" w:themeColor="text1"/>
          <w:sz w:val="20"/>
          <w:szCs w:val="20"/>
          <w:lang w:val="fr-BE"/>
        </w:rPr>
      </w:pPr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ouvrir les </w:t>
      </w:r>
      <w:proofErr w:type="spellStart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>étudiant.e.s</w:t>
      </w:r>
      <w:proofErr w:type="spellEnd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 aux recherches épistémologiques liées à la constitution de savoirs renouvelés sur l’architecture, à travers les outils de réflexivité que sont les approches diachroniques et historiques de la discipline ;</w:t>
      </w:r>
    </w:p>
    <w:p w14:paraId="24B6418C" w14:textId="77777777" w:rsidR="0011798C" w:rsidRPr="00D55D2D" w:rsidRDefault="0011798C" w:rsidP="00D55D2D">
      <w:pPr>
        <w:pStyle w:val="Paragraphedeliste"/>
        <w:numPr>
          <w:ilvl w:val="0"/>
          <w:numId w:val="3"/>
        </w:numPr>
        <w:rPr>
          <w:rFonts w:asciiTheme="majorHAnsi" w:hAnsiTheme="majorHAnsi" w:cs="Arial"/>
          <w:color w:val="000000" w:themeColor="text1"/>
          <w:sz w:val="20"/>
          <w:szCs w:val="20"/>
          <w:lang w:val="fr-BE"/>
        </w:rPr>
      </w:pPr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soutenir les </w:t>
      </w:r>
      <w:proofErr w:type="spellStart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>étudiant.e.s</w:t>
      </w:r>
      <w:proofErr w:type="spellEnd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 xml:space="preserve"> dans leur capacité à développer un regard critique et théorique face à la production architecturale à laquelle ils et elles sont (et seront) quotidiennement </w:t>
      </w:r>
      <w:proofErr w:type="spellStart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>confronté.e.s</w:t>
      </w:r>
      <w:proofErr w:type="spellEnd"/>
      <w:r w:rsidRPr="00D55D2D">
        <w:rPr>
          <w:rFonts w:asciiTheme="majorHAnsi" w:hAnsiTheme="majorHAnsi" w:cs="Arial"/>
          <w:color w:val="000000" w:themeColor="text1"/>
          <w:sz w:val="20"/>
          <w:szCs w:val="20"/>
          <w:lang w:val="fr-BE"/>
        </w:rPr>
        <w:t>.</w:t>
      </w:r>
    </w:p>
    <w:p w14:paraId="7EFD5320" w14:textId="77777777" w:rsidR="0011798C" w:rsidRPr="00D55D2D" w:rsidRDefault="0011798C" w:rsidP="00D55D2D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576AE677" w14:textId="55C0D144" w:rsidR="0011798C" w:rsidRPr="00D55D2D" w:rsidRDefault="0011798C" w:rsidP="00D55D2D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Aux marges, mais au centre du projet pédagogique de ces « questions d’architecture », on soulignera également la combinaison de ce projet pédagogique avec celui de l’atelier </w:t>
      </w:r>
      <w:r w:rsidR="00BF7E07" w:rsidRPr="00BF7E07">
        <w:rPr>
          <w:rFonts w:asciiTheme="majorHAnsi" w:hAnsiTheme="majorHAnsi"/>
          <w:b/>
          <w:bCs/>
          <w:i/>
          <w:iCs/>
          <w:color w:val="000000" w:themeColor="text1"/>
          <w:sz w:val="20"/>
          <w:szCs w:val="20"/>
        </w:rPr>
        <w:t>Pratiques Critiques</w:t>
      </w:r>
      <w:r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, et l’attention portée à proposer des thématiques </w:t>
      </w:r>
      <w:r w:rsidR="00EA7889">
        <w:rPr>
          <w:rFonts w:asciiTheme="majorHAnsi" w:hAnsiTheme="majorHAnsi"/>
          <w:color w:val="000000" w:themeColor="text1"/>
          <w:sz w:val="20"/>
          <w:szCs w:val="20"/>
        </w:rPr>
        <w:t>communes</w:t>
      </w:r>
      <w:r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. Dans ce cadre, l’invitation faites aux </w:t>
      </w:r>
      <w:proofErr w:type="spellStart"/>
      <w:r w:rsidRPr="00D55D2D">
        <w:rPr>
          <w:rFonts w:asciiTheme="majorHAnsi" w:hAnsiTheme="majorHAnsi"/>
          <w:color w:val="000000" w:themeColor="text1"/>
          <w:sz w:val="20"/>
          <w:szCs w:val="20"/>
        </w:rPr>
        <w:t>étudiant.</w:t>
      </w:r>
      <w:proofErr w:type="gramStart"/>
      <w:r w:rsidRPr="00D55D2D">
        <w:rPr>
          <w:rFonts w:asciiTheme="majorHAnsi" w:hAnsiTheme="majorHAnsi"/>
          <w:color w:val="000000" w:themeColor="text1"/>
          <w:sz w:val="20"/>
          <w:szCs w:val="20"/>
        </w:rPr>
        <w:t>e.s</w:t>
      </w:r>
      <w:proofErr w:type="spellEnd"/>
      <w:proofErr w:type="gramEnd"/>
      <w:r w:rsidRPr="00D55D2D">
        <w:rPr>
          <w:rFonts w:asciiTheme="majorHAnsi" w:hAnsiTheme="majorHAnsi"/>
          <w:color w:val="000000" w:themeColor="text1"/>
          <w:sz w:val="20"/>
          <w:szCs w:val="20"/>
        </w:rPr>
        <w:t xml:space="preserve"> de suivre simultanément les deux enseignements leur donne la possibilité de combiner les apprentissages de la pratique du projet et de cette culture architecturale.</w:t>
      </w:r>
    </w:p>
    <w:p w14:paraId="4534AE97" w14:textId="77777777" w:rsidR="00D205C0" w:rsidRPr="00D55D2D" w:rsidRDefault="00D205C0" w:rsidP="00D55D2D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111ABE2F" w14:textId="6A7BA688" w:rsidR="00D205C0" w:rsidRPr="00D55D2D" w:rsidRDefault="00EA7889" w:rsidP="00D55D2D">
      <w:pPr>
        <w:spacing w:after="150"/>
        <w:textAlignment w:val="baseline"/>
        <w:rPr>
          <w:rFonts w:asciiTheme="majorHAnsi" w:hAnsiTheme="majorHAnsi" w:cs="Times New Roman"/>
          <w:sz w:val="20"/>
          <w:szCs w:val="20"/>
          <w:lang w:val="fr-BE"/>
        </w:rPr>
      </w:pPr>
      <w:r>
        <w:rPr>
          <w:rFonts w:asciiTheme="majorHAnsi" w:hAnsiTheme="majorHAnsi" w:cs="Times New Roman"/>
          <w:sz w:val="20"/>
          <w:szCs w:val="20"/>
          <w:lang w:val="fr-BE"/>
        </w:rPr>
        <w:t>Les Questions d’Architecture</w:t>
      </w:r>
      <w:r w:rsidR="00D205C0" w:rsidRPr="00D55D2D">
        <w:rPr>
          <w:rFonts w:asciiTheme="majorHAnsi" w:hAnsiTheme="majorHAnsi" w:cs="Times New Roman"/>
          <w:sz w:val="20"/>
          <w:szCs w:val="20"/>
          <w:lang w:val="fr-BE"/>
        </w:rPr>
        <w:t xml:space="preserve"> HTC </w:t>
      </w:r>
      <w:r>
        <w:rPr>
          <w:rFonts w:asciiTheme="majorHAnsi" w:hAnsiTheme="majorHAnsi" w:cs="Times New Roman"/>
          <w:sz w:val="20"/>
          <w:szCs w:val="20"/>
          <w:lang w:val="fr-BE"/>
        </w:rPr>
        <w:t>sont</w:t>
      </w:r>
      <w:r w:rsidR="00D205C0" w:rsidRPr="00D55D2D">
        <w:rPr>
          <w:rFonts w:asciiTheme="majorHAnsi" w:hAnsiTheme="majorHAnsi" w:cs="Times New Roman"/>
          <w:sz w:val="20"/>
          <w:szCs w:val="20"/>
          <w:lang w:val="fr-BE"/>
        </w:rPr>
        <w:t xml:space="preserve"> également étroitement lié</w:t>
      </w:r>
      <w:r>
        <w:rPr>
          <w:rFonts w:asciiTheme="majorHAnsi" w:hAnsiTheme="majorHAnsi" w:cs="Times New Roman"/>
          <w:sz w:val="20"/>
          <w:szCs w:val="20"/>
          <w:lang w:val="fr-BE"/>
        </w:rPr>
        <w:t>es</w:t>
      </w:r>
      <w:r w:rsidR="00D205C0" w:rsidRPr="00D55D2D">
        <w:rPr>
          <w:rFonts w:asciiTheme="majorHAnsi" w:hAnsiTheme="majorHAnsi" w:cs="Times New Roman"/>
          <w:sz w:val="20"/>
          <w:szCs w:val="20"/>
          <w:lang w:val="fr-BE"/>
        </w:rPr>
        <w:t xml:space="preserve"> au laboratoire de recherche </w:t>
      </w:r>
      <w:proofErr w:type="spellStart"/>
      <w:r w:rsidR="00D205C0" w:rsidRPr="00D55D2D">
        <w:rPr>
          <w:rFonts w:asciiTheme="majorHAnsi" w:hAnsiTheme="majorHAnsi" w:cs="Times New Roman"/>
          <w:i/>
          <w:sz w:val="20"/>
          <w:szCs w:val="20"/>
          <w:lang w:val="fr-BE"/>
        </w:rPr>
        <w:t>hortence</w:t>
      </w:r>
      <w:proofErr w:type="spellEnd"/>
      <w:r w:rsidR="00D205C0" w:rsidRPr="00D55D2D">
        <w:rPr>
          <w:rFonts w:asciiTheme="majorHAnsi" w:hAnsiTheme="majorHAnsi" w:cs="Times New Roman"/>
          <w:sz w:val="20"/>
          <w:szCs w:val="20"/>
          <w:lang w:val="fr-BE"/>
        </w:rPr>
        <w:t xml:space="preserve"> qui en est issu. Les chercheurs et chercheuses </w:t>
      </w:r>
      <w:proofErr w:type="spellStart"/>
      <w:r w:rsidR="00D205C0" w:rsidRPr="00D55D2D">
        <w:rPr>
          <w:rFonts w:asciiTheme="majorHAnsi" w:hAnsiTheme="majorHAnsi" w:cs="Times New Roman"/>
          <w:sz w:val="20"/>
          <w:szCs w:val="20"/>
          <w:lang w:val="fr-BE"/>
        </w:rPr>
        <w:t>affilié.e.s</w:t>
      </w:r>
      <w:proofErr w:type="spellEnd"/>
      <w:r w:rsidR="00D205C0" w:rsidRPr="00D55D2D">
        <w:rPr>
          <w:rFonts w:asciiTheme="majorHAnsi" w:hAnsiTheme="majorHAnsi" w:cs="Times New Roman"/>
          <w:sz w:val="20"/>
          <w:szCs w:val="20"/>
          <w:lang w:val="fr-BE"/>
        </w:rPr>
        <w:t xml:space="preserve"> à ce centre de recherche participent régulièrement aux discussions menées au sein des séminaires et des cours et alimentent en cela les collaborations effectives entre enseignement de master et recherche.</w:t>
      </w:r>
    </w:p>
    <w:p w14:paraId="5EE69D57" w14:textId="77777777" w:rsidR="00D205C0" w:rsidRDefault="00D205C0" w:rsidP="00D55D2D">
      <w:pPr>
        <w:spacing w:after="150"/>
        <w:textAlignment w:val="baseline"/>
        <w:rPr>
          <w:rFonts w:asciiTheme="majorHAnsi" w:hAnsiTheme="majorHAnsi" w:cs="Times New Roman"/>
          <w:sz w:val="20"/>
          <w:szCs w:val="20"/>
          <w:lang w:val="fr-BE"/>
        </w:rPr>
      </w:pPr>
    </w:p>
    <w:p w14:paraId="28524D8E" w14:textId="77777777" w:rsidR="00D55D2D" w:rsidRPr="00D55D2D" w:rsidRDefault="00D55D2D" w:rsidP="00D55D2D">
      <w:pPr>
        <w:spacing w:after="150"/>
        <w:textAlignment w:val="baseline"/>
        <w:rPr>
          <w:rFonts w:asciiTheme="majorHAnsi" w:hAnsiTheme="majorHAnsi" w:cs="Times New Roman"/>
          <w:sz w:val="20"/>
          <w:szCs w:val="20"/>
          <w:lang w:val="fr-BE"/>
        </w:rPr>
      </w:pPr>
    </w:p>
    <w:p w14:paraId="33B5DD23" w14:textId="77777777" w:rsidR="00D205C0" w:rsidRPr="00872CB9" w:rsidRDefault="00D205C0" w:rsidP="00D55D2D">
      <w:pPr>
        <w:spacing w:after="150"/>
        <w:textAlignment w:val="baseline"/>
        <w:rPr>
          <w:rFonts w:asciiTheme="majorHAnsi" w:hAnsiTheme="majorHAnsi" w:cs="Times New Roman"/>
          <w:sz w:val="20"/>
          <w:szCs w:val="20"/>
          <w:lang w:val="fr-BE"/>
        </w:rPr>
      </w:pPr>
      <w:r w:rsidRPr="00872CB9">
        <w:rPr>
          <w:rFonts w:asciiTheme="majorHAnsi" w:hAnsiTheme="majorHAnsi" w:cs="Times New Roman"/>
          <w:sz w:val="20"/>
          <w:szCs w:val="20"/>
          <w:lang w:val="fr-BE"/>
        </w:rPr>
        <w:t>Parmi les thématiques abordées ces dernières années et ayant fait l’objet de recherches individuelles et/ou collectives :</w:t>
      </w:r>
    </w:p>
    <w:p w14:paraId="62F1635A" w14:textId="77777777" w:rsidR="00D205C0" w:rsidRPr="00D55D2D" w:rsidRDefault="00D205C0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Reconsidérer les années ’70.</w:t>
      </w:r>
    </w:p>
    <w:p w14:paraId="617D5327" w14:textId="77777777" w:rsidR="00D205C0" w:rsidRPr="00D55D2D" w:rsidRDefault="00D205C0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L’actualité des années ‘70</w:t>
      </w:r>
    </w:p>
    <w:p w14:paraId="1FEBE8BF" w14:textId="77777777" w:rsidR="00D205C0" w:rsidRPr="00D55D2D" w:rsidRDefault="00D205C0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La Cambre Architecture †1928 – 2010</w:t>
      </w:r>
    </w:p>
    <w:p w14:paraId="384C983E" w14:textId="77777777" w:rsidR="00D205C0" w:rsidRPr="00D55D2D" w:rsidRDefault="00D205C0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A+40</w:t>
      </w:r>
    </w:p>
    <w:p w14:paraId="6D79467B" w14:textId="77777777" w:rsidR="00D205C0" w:rsidRPr="00D55D2D" w:rsidRDefault="00D205C0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Congruence et distorsion. Pour une présence critique de l’architecture</w:t>
      </w:r>
    </w:p>
    <w:p w14:paraId="6091D338" w14:textId="77777777" w:rsidR="00D205C0" w:rsidRPr="00D55D2D" w:rsidRDefault="00D205C0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Licences et conventions dans l’espace domestique</w:t>
      </w:r>
    </w:p>
    <w:p w14:paraId="5560F2F8" w14:textId="77777777" w:rsidR="00D205C0" w:rsidRPr="00D55D2D" w:rsidRDefault="00D205C0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 xml:space="preserve">U-, </w:t>
      </w:r>
      <w:proofErr w:type="spellStart"/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Dys</w:t>
      </w:r>
      <w:proofErr w:type="spellEnd"/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 xml:space="preserve">-, Hétéro-, Porno- </w:t>
      </w:r>
      <w:proofErr w:type="spellStart"/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topies</w:t>
      </w:r>
      <w:proofErr w:type="spellEnd"/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 xml:space="preserve"> // Anticipations</w:t>
      </w:r>
    </w:p>
    <w:p w14:paraId="0355F5F4" w14:textId="77777777" w:rsidR="00D205C0" w:rsidRPr="00D55D2D" w:rsidRDefault="00D205C0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Comment faire l’histoire du temps présent ?</w:t>
      </w:r>
    </w:p>
    <w:p w14:paraId="13C94DA9" w14:textId="77777777" w:rsidR="00D205C0" w:rsidRPr="00D55D2D" w:rsidRDefault="00D205C0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 w:rsidRPr="007922FC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it-IT"/>
        </w:rPr>
        <w:t xml:space="preserve">Archi ’80 / De Cacciari à </w:t>
      </w:r>
      <w:proofErr w:type="spellStart"/>
      <w:r w:rsidRPr="007922FC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it-IT"/>
        </w:rPr>
        <w:t>Wigley</w:t>
      </w:r>
      <w:proofErr w:type="spellEnd"/>
      <w:r w:rsidRPr="007922FC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it-IT"/>
        </w:rPr>
        <w:t xml:space="preserve">… </w:t>
      </w:r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Quand la théorie et la critique internationales se penchent sur l’architecture belge des années 1980</w:t>
      </w:r>
    </w:p>
    <w:p w14:paraId="2CB512D4" w14:textId="77777777" w:rsidR="00D205C0" w:rsidRPr="00D55D2D" w:rsidRDefault="00D205C0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Back to the ‘80</w:t>
      </w:r>
    </w:p>
    <w:p w14:paraId="39A01EF7" w14:textId="77777777" w:rsidR="00D205C0" w:rsidRPr="00D55D2D" w:rsidRDefault="00D205C0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 xml:space="preserve">Destination </w:t>
      </w:r>
      <w:proofErr w:type="spellStart"/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Criticat</w:t>
      </w:r>
      <w:proofErr w:type="spellEnd"/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. Une décennie éditoriale passée au crible (2008-2018)</w:t>
      </w:r>
    </w:p>
    <w:p w14:paraId="4ED0BC4D" w14:textId="77777777" w:rsidR="00D205C0" w:rsidRPr="00D55D2D" w:rsidRDefault="00D205C0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Update(s). Une brève histoire de l’architecture en Belgique depuis 1983.</w:t>
      </w:r>
    </w:p>
    <w:p w14:paraId="4276B9C9" w14:textId="1931409A" w:rsidR="00D205C0" w:rsidRPr="007922FC" w:rsidRDefault="00EB7441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i/>
          <w:sz w:val="18"/>
          <w:szCs w:val="18"/>
          <w:lang w:val="en-US"/>
        </w:rPr>
      </w:pPr>
      <w:r w:rsidRPr="007922FC">
        <w:rPr>
          <w:rFonts w:asciiTheme="majorHAnsi" w:eastAsia="Times New Roman" w:hAnsiTheme="majorHAnsi" w:cs="Times New Roman"/>
          <w:i/>
          <w:sz w:val="18"/>
          <w:szCs w:val="18"/>
          <w:lang w:val="en-US"/>
        </w:rPr>
        <w:t xml:space="preserve">Crash Test Dummies (Archeology) / Master </w:t>
      </w:r>
      <w:proofErr w:type="spellStart"/>
      <w:r w:rsidRPr="007922FC">
        <w:rPr>
          <w:rFonts w:asciiTheme="majorHAnsi" w:eastAsia="Times New Roman" w:hAnsiTheme="majorHAnsi" w:cs="Times New Roman"/>
          <w:i/>
          <w:sz w:val="18"/>
          <w:szCs w:val="18"/>
          <w:lang w:val="en-US"/>
        </w:rPr>
        <w:t>Proef</w:t>
      </w:r>
      <w:proofErr w:type="spellEnd"/>
      <w:r w:rsidRPr="007922FC">
        <w:rPr>
          <w:rFonts w:asciiTheme="majorHAnsi" w:eastAsia="Times New Roman" w:hAnsiTheme="majorHAnsi" w:cs="Times New Roman"/>
          <w:i/>
          <w:sz w:val="18"/>
          <w:szCs w:val="18"/>
          <w:lang w:val="en-US"/>
        </w:rPr>
        <w:t xml:space="preserve"> – </w:t>
      </w:r>
      <w:proofErr w:type="gramStart"/>
      <w:r w:rsidRPr="007922FC">
        <w:rPr>
          <w:rFonts w:asciiTheme="majorHAnsi" w:eastAsia="Times New Roman" w:hAnsiTheme="majorHAnsi" w:cs="Times New Roman"/>
          <w:i/>
          <w:sz w:val="18"/>
          <w:szCs w:val="18"/>
          <w:lang w:val="en-US"/>
        </w:rPr>
        <w:t>Premiers</w:t>
      </w:r>
      <w:proofErr w:type="gramEnd"/>
      <w:r w:rsidRPr="007922FC">
        <w:rPr>
          <w:rFonts w:asciiTheme="majorHAnsi" w:eastAsia="Times New Roman" w:hAnsiTheme="majorHAnsi" w:cs="Times New Roman"/>
          <w:i/>
          <w:sz w:val="18"/>
          <w:szCs w:val="18"/>
          <w:lang w:val="en-US"/>
        </w:rPr>
        <w:t xml:space="preserve"> </w:t>
      </w:r>
      <w:proofErr w:type="spellStart"/>
      <w:r w:rsidRPr="007922FC">
        <w:rPr>
          <w:rFonts w:asciiTheme="majorHAnsi" w:eastAsia="Times New Roman" w:hAnsiTheme="majorHAnsi" w:cs="Times New Roman"/>
          <w:i/>
          <w:sz w:val="18"/>
          <w:szCs w:val="18"/>
          <w:lang w:val="en-US"/>
        </w:rPr>
        <w:t>projets</w:t>
      </w:r>
      <w:proofErr w:type="spellEnd"/>
    </w:p>
    <w:p w14:paraId="38D4B642" w14:textId="24B0B06F" w:rsidR="00D205C0" w:rsidRPr="00EA7889" w:rsidRDefault="00D205C0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 xml:space="preserve">Bravoure </w:t>
      </w:r>
      <w:proofErr w:type="spellStart"/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Scarcity</w:t>
      </w:r>
      <w:proofErr w:type="spellEnd"/>
      <w:r w:rsidRPr="00D55D2D"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 xml:space="preserve"> Beauty</w:t>
      </w:r>
    </w:p>
    <w:p w14:paraId="296D63EC" w14:textId="7E5162D6" w:rsidR="00EA7889" w:rsidRPr="00D55D2D" w:rsidRDefault="00EA7889" w:rsidP="00D55D2D">
      <w:pPr>
        <w:numPr>
          <w:ilvl w:val="0"/>
          <w:numId w:val="2"/>
        </w:numPr>
        <w:ind w:left="426"/>
        <w:textAlignment w:val="baseline"/>
        <w:rPr>
          <w:rFonts w:asciiTheme="majorHAnsi" w:eastAsia="Times New Roman" w:hAnsiTheme="majorHAnsi" w:cs="Times New Roman"/>
          <w:sz w:val="18"/>
          <w:szCs w:val="18"/>
          <w:lang w:val="fr-BE"/>
        </w:rPr>
      </w:pPr>
      <w:r>
        <w:rPr>
          <w:rFonts w:asciiTheme="majorHAnsi" w:eastAsia="Times New Roman" w:hAnsiTheme="majorHAnsi" w:cs="Times New Roman"/>
          <w:i/>
          <w:iCs/>
          <w:sz w:val="18"/>
          <w:szCs w:val="18"/>
          <w:bdr w:val="none" w:sz="0" w:space="0" w:color="auto" w:frame="1"/>
          <w:lang w:val="fr-BE"/>
        </w:rPr>
        <w:t>La présence critique de l’architecture</w:t>
      </w:r>
    </w:p>
    <w:p w14:paraId="502EEFE4" w14:textId="77777777" w:rsidR="00D205C0" w:rsidRPr="00D55D2D" w:rsidRDefault="00D205C0" w:rsidP="00D55D2D">
      <w:pPr>
        <w:spacing w:after="150"/>
        <w:textAlignment w:val="baseline"/>
        <w:rPr>
          <w:rFonts w:asciiTheme="majorHAnsi" w:hAnsiTheme="majorHAnsi" w:cs="Times New Roman"/>
          <w:sz w:val="20"/>
          <w:szCs w:val="20"/>
          <w:lang w:val="fr-BE"/>
        </w:rPr>
      </w:pPr>
    </w:p>
    <w:p w14:paraId="4D19F285" w14:textId="7C281DDD" w:rsidR="00D205C0" w:rsidRPr="00D55D2D" w:rsidRDefault="00D205C0" w:rsidP="00D55D2D">
      <w:pPr>
        <w:textAlignment w:val="baseline"/>
        <w:rPr>
          <w:rFonts w:asciiTheme="majorHAnsi" w:eastAsia="Times New Roman" w:hAnsiTheme="majorHAnsi" w:cs="Times New Roman"/>
          <w:b/>
          <w:bCs/>
          <w:spacing w:val="8"/>
          <w:sz w:val="20"/>
          <w:szCs w:val="20"/>
          <w:lang w:val="fr-BE"/>
        </w:rPr>
      </w:pPr>
      <w:r w:rsidRPr="00D55D2D">
        <w:rPr>
          <w:rFonts w:asciiTheme="majorHAnsi" w:eastAsia="Times New Roman" w:hAnsiTheme="majorHAnsi" w:cs="Times New Roman"/>
          <w:b/>
          <w:bCs/>
          <w:spacing w:val="8"/>
          <w:sz w:val="20"/>
          <w:szCs w:val="20"/>
          <w:lang w:val="fr-BE"/>
        </w:rPr>
        <w:t xml:space="preserve">Enseignants titulaires </w:t>
      </w:r>
    </w:p>
    <w:p w14:paraId="7779C0D7" w14:textId="77777777" w:rsidR="00D205C0" w:rsidRPr="00D55D2D" w:rsidRDefault="00D205C0" w:rsidP="00D55D2D">
      <w:pPr>
        <w:textAlignment w:val="baseline"/>
        <w:rPr>
          <w:rFonts w:asciiTheme="majorHAnsi" w:eastAsia="Times New Roman" w:hAnsiTheme="majorHAnsi" w:cs="Times New Roman"/>
          <w:sz w:val="20"/>
          <w:szCs w:val="20"/>
          <w:lang w:val="fr-BE"/>
        </w:rPr>
      </w:pPr>
      <w:r w:rsidRPr="00D55D2D">
        <w:rPr>
          <w:rFonts w:asciiTheme="majorHAnsi" w:eastAsia="Times New Roman" w:hAnsiTheme="majorHAnsi" w:cs="Times New Roman"/>
          <w:sz w:val="20"/>
          <w:szCs w:val="20"/>
          <w:lang w:val="fr-BE"/>
        </w:rPr>
        <w:t xml:space="preserve">Jean-Didier Bergilez, Vincent </w:t>
      </w:r>
      <w:proofErr w:type="spellStart"/>
      <w:r w:rsidRPr="00D55D2D">
        <w:rPr>
          <w:rFonts w:asciiTheme="majorHAnsi" w:eastAsia="Times New Roman" w:hAnsiTheme="majorHAnsi" w:cs="Times New Roman"/>
          <w:sz w:val="20"/>
          <w:szCs w:val="20"/>
          <w:lang w:val="fr-BE"/>
        </w:rPr>
        <w:t>Brunetta</w:t>
      </w:r>
      <w:proofErr w:type="spellEnd"/>
    </w:p>
    <w:p w14:paraId="2AE3391C" w14:textId="0D0630CD" w:rsidR="0011798C" w:rsidRPr="00D55D2D" w:rsidRDefault="0011798C" w:rsidP="008C14C5">
      <w:pPr>
        <w:rPr>
          <w:rFonts w:asciiTheme="majorHAnsi" w:hAnsiTheme="majorHAnsi"/>
          <w:b/>
          <w:color w:val="000000" w:themeColor="text1"/>
          <w:sz w:val="20"/>
          <w:szCs w:val="20"/>
        </w:rPr>
        <w:sectPr w:rsidR="0011798C" w:rsidRPr="00D55D2D" w:rsidSect="004051DB">
          <w:headerReference w:type="default" r:id="rId7"/>
          <w:footerReference w:type="even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4B348AB" w14:textId="77777777" w:rsidR="008C14C5" w:rsidRPr="008C14C5" w:rsidRDefault="008C14C5" w:rsidP="008C14C5">
      <w:pPr>
        <w:rPr>
          <w:rFonts w:ascii="Helvetica" w:hAnsi="Helvetica"/>
        </w:rPr>
      </w:pPr>
    </w:p>
    <w:sectPr w:rsidR="008C14C5" w:rsidRPr="008C14C5" w:rsidSect="004051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1795" w14:textId="77777777" w:rsidR="008D49CF" w:rsidRDefault="008D49CF" w:rsidP="00D205C0">
      <w:r>
        <w:separator/>
      </w:r>
    </w:p>
  </w:endnote>
  <w:endnote w:type="continuationSeparator" w:id="0">
    <w:p w14:paraId="2B423536" w14:textId="77777777" w:rsidR="008D49CF" w:rsidRDefault="008D49CF" w:rsidP="00D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70A9" w14:textId="77777777" w:rsidR="00EB7441" w:rsidRDefault="00EB7441" w:rsidP="0011798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D6A0300" w14:textId="77777777" w:rsidR="00EB7441" w:rsidRDefault="00EB7441" w:rsidP="0011798C">
    <w:pPr>
      <w:pStyle w:val="Pieddepage"/>
      <w:ind w:right="360"/>
    </w:pPr>
  </w:p>
  <w:p w14:paraId="3701D75D" w14:textId="77777777" w:rsidR="00EB7441" w:rsidRDefault="00EB74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BDDB" w14:textId="77777777" w:rsidR="00EB7441" w:rsidRPr="008448B0" w:rsidRDefault="00EB7441" w:rsidP="0011798C">
    <w:pPr>
      <w:pStyle w:val="Pieddepage"/>
      <w:framePr w:wrap="around" w:vAnchor="text" w:hAnchor="margin" w:xAlign="right" w:y="1"/>
      <w:rPr>
        <w:rStyle w:val="Numrodepage"/>
        <w:rFonts w:asciiTheme="majorHAnsi" w:hAnsiTheme="majorHAnsi"/>
        <w:sz w:val="16"/>
        <w:szCs w:val="16"/>
      </w:rPr>
    </w:pPr>
    <w:r w:rsidRPr="008448B0">
      <w:rPr>
        <w:rStyle w:val="Numrodepage"/>
        <w:rFonts w:asciiTheme="majorHAnsi" w:hAnsiTheme="majorHAnsi"/>
        <w:sz w:val="16"/>
        <w:szCs w:val="16"/>
      </w:rPr>
      <w:fldChar w:fldCharType="begin"/>
    </w:r>
    <w:r w:rsidRPr="008448B0">
      <w:rPr>
        <w:rStyle w:val="Numrodepage"/>
        <w:rFonts w:asciiTheme="majorHAnsi" w:hAnsiTheme="majorHAnsi"/>
        <w:sz w:val="16"/>
        <w:szCs w:val="16"/>
      </w:rPr>
      <w:instrText xml:space="preserve">PAGE  </w:instrText>
    </w:r>
    <w:r w:rsidRPr="008448B0">
      <w:rPr>
        <w:rStyle w:val="Numrodepage"/>
        <w:rFonts w:asciiTheme="majorHAnsi" w:hAnsiTheme="majorHAnsi"/>
        <w:sz w:val="16"/>
        <w:szCs w:val="16"/>
      </w:rPr>
      <w:fldChar w:fldCharType="separate"/>
    </w:r>
    <w:r w:rsidR="00C84E3C">
      <w:rPr>
        <w:rStyle w:val="Numrodepage"/>
        <w:rFonts w:asciiTheme="majorHAnsi" w:hAnsiTheme="majorHAnsi"/>
        <w:noProof/>
        <w:sz w:val="16"/>
        <w:szCs w:val="16"/>
      </w:rPr>
      <w:t>1</w:t>
    </w:r>
    <w:r w:rsidRPr="008448B0">
      <w:rPr>
        <w:rStyle w:val="Numrodepage"/>
        <w:rFonts w:asciiTheme="majorHAnsi" w:hAnsiTheme="majorHAnsi"/>
        <w:sz w:val="16"/>
        <w:szCs w:val="16"/>
      </w:rPr>
      <w:fldChar w:fldCharType="end"/>
    </w:r>
  </w:p>
  <w:p w14:paraId="213962DC" w14:textId="41C9409F" w:rsidR="00EB7441" w:rsidRPr="008448B0" w:rsidRDefault="00EB7441" w:rsidP="0011798C">
    <w:pPr>
      <w:pStyle w:val="Pieddepage"/>
      <w:ind w:right="360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HTC - 1</w:t>
    </w:r>
    <w:r w:rsidR="00BF7E07">
      <w:rPr>
        <w:rFonts w:asciiTheme="majorHAnsi" w:hAnsiTheme="majorHAnsi"/>
        <w:sz w:val="16"/>
        <w:szCs w:val="16"/>
      </w:rPr>
      <w:t>0</w:t>
    </w:r>
    <w:r>
      <w:rPr>
        <w:rFonts w:asciiTheme="majorHAnsi" w:hAnsiTheme="majorHAnsi"/>
        <w:sz w:val="16"/>
        <w:szCs w:val="16"/>
      </w:rPr>
      <w:t>/09</w:t>
    </w:r>
    <w:r w:rsidRPr="008448B0">
      <w:rPr>
        <w:rFonts w:asciiTheme="majorHAnsi" w:hAnsiTheme="majorHAnsi"/>
        <w:sz w:val="16"/>
        <w:szCs w:val="16"/>
      </w:rPr>
      <w:t>/202</w:t>
    </w:r>
    <w:r w:rsidR="00BF7E07">
      <w:rPr>
        <w:rFonts w:asciiTheme="majorHAnsi" w:hAnsiTheme="majorHAnsi"/>
        <w:sz w:val="16"/>
        <w:szCs w:val="16"/>
      </w:rPr>
      <w:t>1</w:t>
    </w:r>
  </w:p>
  <w:p w14:paraId="319265C5" w14:textId="77777777" w:rsidR="00EB7441" w:rsidRDefault="00EB74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6FB8" w14:textId="77777777" w:rsidR="008D49CF" w:rsidRDefault="008D49CF" w:rsidP="00D205C0">
      <w:r>
        <w:separator/>
      </w:r>
    </w:p>
  </w:footnote>
  <w:footnote w:type="continuationSeparator" w:id="0">
    <w:p w14:paraId="252E0069" w14:textId="77777777" w:rsidR="008D49CF" w:rsidRDefault="008D49CF" w:rsidP="00D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BC10" w14:textId="3BD84B3B" w:rsidR="00EB7441" w:rsidRPr="008448B0" w:rsidRDefault="00EB7441" w:rsidP="0011798C">
    <w:pPr>
      <w:jc w:val="right"/>
      <w:rPr>
        <w:rFonts w:asciiTheme="majorHAnsi" w:hAnsiTheme="majorHAnsi"/>
        <w:sz w:val="16"/>
        <w:szCs w:val="16"/>
      </w:rPr>
    </w:pPr>
    <w:r w:rsidRPr="008448B0">
      <w:rPr>
        <w:rFonts w:asciiTheme="majorHAnsi" w:hAnsiTheme="majorHAnsi"/>
        <w:sz w:val="16"/>
        <w:szCs w:val="16"/>
      </w:rPr>
      <w:t>Questions d’Architecture</w:t>
    </w:r>
    <w:r>
      <w:rPr>
        <w:rFonts w:asciiTheme="majorHAnsi" w:hAnsiTheme="majorHAnsi"/>
        <w:sz w:val="16"/>
        <w:szCs w:val="16"/>
      </w:rPr>
      <w:t xml:space="preserve"> – 202</w:t>
    </w:r>
    <w:r w:rsidR="007922FC">
      <w:rPr>
        <w:rFonts w:asciiTheme="majorHAnsi" w:hAnsiTheme="majorHAnsi"/>
        <w:sz w:val="16"/>
        <w:szCs w:val="16"/>
      </w:rPr>
      <w:t>1</w:t>
    </w:r>
    <w:r>
      <w:rPr>
        <w:rFonts w:asciiTheme="majorHAnsi" w:hAnsiTheme="majorHAnsi"/>
        <w:sz w:val="16"/>
        <w:szCs w:val="16"/>
      </w:rPr>
      <w:t>-202</w:t>
    </w:r>
    <w:r w:rsidR="007922FC">
      <w:rPr>
        <w:rFonts w:asciiTheme="majorHAnsi" w:hAnsiTheme="majorHAnsi"/>
        <w:sz w:val="16"/>
        <w:szCs w:val="16"/>
      </w:rPr>
      <w:t>2</w:t>
    </w:r>
    <w:r>
      <w:rPr>
        <w:rFonts w:asciiTheme="majorHAnsi" w:hAnsiTheme="majorHAnsi"/>
        <w:sz w:val="16"/>
        <w:szCs w:val="16"/>
      </w:rPr>
      <w:t xml:space="preserve"> – HTC - Philosophie</w:t>
    </w:r>
  </w:p>
  <w:p w14:paraId="6BC5AA4B" w14:textId="77777777" w:rsidR="00EB7441" w:rsidRDefault="00EB7441">
    <w:pPr>
      <w:pStyle w:val="En-tte"/>
    </w:pPr>
  </w:p>
  <w:p w14:paraId="19230273" w14:textId="77777777" w:rsidR="00EB7441" w:rsidRDefault="00EB74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A56CC"/>
    <w:multiLevelType w:val="hybridMultilevel"/>
    <w:tmpl w:val="3E3AA4CE"/>
    <w:lvl w:ilvl="0" w:tplc="FD9AA4F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B69E7"/>
    <w:multiLevelType w:val="multilevel"/>
    <w:tmpl w:val="2D50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576E6D"/>
    <w:multiLevelType w:val="multilevel"/>
    <w:tmpl w:val="26E4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12"/>
    <w:rsid w:val="0011798C"/>
    <w:rsid w:val="00275C6D"/>
    <w:rsid w:val="00300702"/>
    <w:rsid w:val="00373412"/>
    <w:rsid w:val="004051DB"/>
    <w:rsid w:val="004A33B7"/>
    <w:rsid w:val="004C28D8"/>
    <w:rsid w:val="007922FC"/>
    <w:rsid w:val="00872CB9"/>
    <w:rsid w:val="008923A1"/>
    <w:rsid w:val="008C14C5"/>
    <w:rsid w:val="008D49CF"/>
    <w:rsid w:val="009453BC"/>
    <w:rsid w:val="00BF7E07"/>
    <w:rsid w:val="00C84E3C"/>
    <w:rsid w:val="00CE2C40"/>
    <w:rsid w:val="00D205C0"/>
    <w:rsid w:val="00D55D2D"/>
    <w:rsid w:val="00EA7889"/>
    <w:rsid w:val="00EB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1E75CE"/>
  <w14:defaultImageDpi w14:val="300"/>
  <w15:docId w15:val="{B9EA78C0-B4C8-C246-BEC6-D19F47A3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73412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niveau1">
    <w:name w:val="Titre niveau 1"/>
    <w:basedOn w:val="Normal"/>
    <w:qFormat/>
    <w:rsid w:val="004C28D8"/>
    <w:pPr>
      <w:widowControl w:val="0"/>
      <w:tabs>
        <w:tab w:val="right" w:pos="8828"/>
      </w:tabs>
      <w:suppressAutoHyphens/>
      <w:spacing w:before="240" w:after="120"/>
    </w:pPr>
    <w:rPr>
      <w:rFonts w:ascii="Cambria" w:eastAsia="Times New Roman" w:hAnsi="Cambria" w:cs="Times New Roman"/>
      <w:b/>
      <w:caps/>
      <w:u w:val="single"/>
    </w:rPr>
  </w:style>
  <w:style w:type="paragraph" w:customStyle="1" w:styleId="TitreNiveau2">
    <w:name w:val="Titre Niveau 2"/>
    <w:basedOn w:val="Normal"/>
    <w:qFormat/>
    <w:rsid w:val="004C28D8"/>
    <w:pPr>
      <w:widowControl w:val="0"/>
      <w:tabs>
        <w:tab w:val="right" w:pos="8828"/>
      </w:tabs>
      <w:suppressAutoHyphens/>
      <w:spacing w:before="120" w:after="120"/>
    </w:pPr>
    <w:rPr>
      <w:rFonts w:ascii="Cambria" w:eastAsia="Times New Roman" w:hAnsi="Cambria" w:cs="Times New Roman"/>
      <w:b/>
      <w:smallCaps/>
    </w:rPr>
  </w:style>
  <w:style w:type="paragraph" w:customStyle="1" w:styleId="TitreNiveau3">
    <w:name w:val="Titre Niveau 3"/>
    <w:basedOn w:val="Normal"/>
    <w:qFormat/>
    <w:rsid w:val="004C28D8"/>
    <w:pPr>
      <w:widowControl w:val="0"/>
      <w:tabs>
        <w:tab w:val="right" w:pos="8828"/>
      </w:tabs>
      <w:suppressAutoHyphens/>
      <w:spacing w:before="120" w:after="120"/>
      <w:ind w:left="567"/>
    </w:pPr>
    <w:rPr>
      <w:rFonts w:ascii="Cambria" w:eastAsia="Times New Roman" w:hAnsi="Cambria" w:cs="Times New Roman"/>
      <w:smallCaps/>
    </w:rPr>
  </w:style>
  <w:style w:type="paragraph" w:customStyle="1" w:styleId="TitreNiveau4">
    <w:name w:val="Titre Niveau 4"/>
    <w:basedOn w:val="Corpsdetexte"/>
    <w:qFormat/>
    <w:rsid w:val="004C28D8"/>
    <w:pPr>
      <w:widowControl w:val="0"/>
      <w:suppressAutoHyphens/>
      <w:ind w:left="851"/>
    </w:pPr>
    <w:rPr>
      <w:rFonts w:ascii="Times New Roman" w:eastAsia="Times New Roman" w:hAnsi="Times New Roman" w:cs="Times New Roman"/>
      <w:sz w:val="20"/>
      <w:szCs w:val="20"/>
      <w:u w:val="single"/>
      <w:lang w:val="fr-B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C28D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C28D8"/>
  </w:style>
  <w:style w:type="character" w:customStyle="1" w:styleId="Titre2Car">
    <w:name w:val="Titre 2 Car"/>
    <w:basedOn w:val="Policepardfaut"/>
    <w:link w:val="Titre2"/>
    <w:uiPriority w:val="9"/>
    <w:rsid w:val="00373412"/>
    <w:rPr>
      <w:rFonts w:ascii="Times New Roman" w:hAnsi="Times New Roman" w:cs="Times New Roman"/>
      <w:b/>
      <w:bCs/>
      <w:sz w:val="36"/>
      <w:szCs w:val="36"/>
      <w:lang w:val="fr-BE"/>
    </w:rPr>
  </w:style>
  <w:style w:type="character" w:customStyle="1" w:styleId="apple-converted-space">
    <w:name w:val="apple-converted-space"/>
    <w:basedOn w:val="Policepardfaut"/>
    <w:rsid w:val="00373412"/>
  </w:style>
  <w:style w:type="paragraph" w:styleId="NormalWeb">
    <w:name w:val="Normal (Web)"/>
    <w:basedOn w:val="Normal"/>
    <w:uiPriority w:val="99"/>
    <w:semiHidden/>
    <w:unhideWhenUsed/>
    <w:rsid w:val="0037341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fr-BE"/>
    </w:rPr>
  </w:style>
  <w:style w:type="character" w:styleId="lev">
    <w:name w:val="Strong"/>
    <w:basedOn w:val="Policepardfaut"/>
    <w:uiPriority w:val="22"/>
    <w:qFormat/>
    <w:rsid w:val="00373412"/>
    <w:rPr>
      <w:b/>
      <w:bCs/>
    </w:rPr>
  </w:style>
  <w:style w:type="character" w:styleId="Accentuation">
    <w:name w:val="Emphasis"/>
    <w:basedOn w:val="Policepardfaut"/>
    <w:uiPriority w:val="20"/>
    <w:qFormat/>
    <w:rsid w:val="00373412"/>
    <w:rPr>
      <w:i/>
      <w:iCs/>
    </w:rPr>
  </w:style>
  <w:style w:type="paragraph" w:styleId="Paragraphedeliste">
    <w:name w:val="List Paragraph"/>
    <w:basedOn w:val="Normal"/>
    <w:uiPriority w:val="34"/>
    <w:qFormat/>
    <w:rsid w:val="001179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79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798C"/>
  </w:style>
  <w:style w:type="paragraph" w:styleId="Pieddepage">
    <w:name w:val="footer"/>
    <w:basedOn w:val="Normal"/>
    <w:link w:val="PieddepageCar"/>
    <w:uiPriority w:val="99"/>
    <w:unhideWhenUsed/>
    <w:rsid w:val="001179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798C"/>
  </w:style>
  <w:style w:type="character" w:styleId="Numrodepage">
    <w:name w:val="page number"/>
    <w:basedOn w:val="Policepardfaut"/>
    <w:uiPriority w:val="99"/>
    <w:semiHidden/>
    <w:unhideWhenUsed/>
    <w:rsid w:val="0011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3213">
          <w:marLeft w:val="0"/>
          <w:marRight w:val="0"/>
          <w:marTop w:val="240"/>
          <w:marBottom w:val="45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624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9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47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872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731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Didier Bergilez</dc:creator>
  <cp:keywords/>
  <dc:description/>
  <cp:lastModifiedBy>BERGILEZ  Jean-Didier</cp:lastModifiedBy>
  <cp:revision>5</cp:revision>
  <dcterms:created xsi:type="dcterms:W3CDTF">2021-09-09T08:52:00Z</dcterms:created>
  <dcterms:modified xsi:type="dcterms:W3CDTF">2021-09-10T10:37:00Z</dcterms:modified>
</cp:coreProperties>
</file>