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7A1924" w14:textId="04EA4A3E" w:rsidR="00426C29" w:rsidRDefault="00030206">
      <w:pPr>
        <w:spacing w:beforeAutospacing="1" w:afterAutospacing="1" w:line="240" w:lineRule="auto"/>
        <w:outlineLvl w:val="1"/>
        <w:rPr>
          <w:rFonts w:eastAsia="Times New Roman" w:cs="Times New Roman"/>
          <w:b/>
          <w:bCs/>
          <w:sz w:val="36"/>
          <w:szCs w:val="36"/>
          <w:lang w:eastAsia="fr-BE"/>
        </w:rPr>
      </w:pPr>
      <w:r>
        <w:rPr>
          <w:rFonts w:eastAsia="Times New Roman" w:cs="Times New Roman"/>
          <w:b/>
          <w:bCs/>
          <w:sz w:val="36"/>
          <w:szCs w:val="36"/>
          <w:lang w:eastAsia="fr-BE"/>
        </w:rPr>
        <w:t xml:space="preserve">AÉD Architectures - Écologies - Durabilités </w:t>
      </w:r>
      <w:r w:rsidR="00C8372B" w:rsidRPr="00C8372B">
        <w:rPr>
          <w:rFonts w:eastAsia="Times New Roman" w:cs="Times New Roman"/>
          <w:bCs/>
          <w:sz w:val="20"/>
          <w:szCs w:val="36"/>
          <w:lang w:eastAsia="fr-BE"/>
        </w:rPr>
        <w:t>(</w:t>
      </w:r>
      <w:r w:rsidR="00280FEF">
        <w:rPr>
          <w:rFonts w:eastAsia="Times New Roman" w:cs="Times New Roman"/>
          <w:bCs/>
          <w:sz w:val="20"/>
          <w:szCs w:val="36"/>
          <w:lang w:eastAsia="fr-BE"/>
        </w:rPr>
        <w:t>202</w:t>
      </w:r>
      <w:r w:rsidR="009E47E1">
        <w:rPr>
          <w:rFonts w:eastAsia="Times New Roman" w:cs="Times New Roman"/>
          <w:bCs/>
          <w:sz w:val="20"/>
          <w:szCs w:val="36"/>
          <w:lang w:eastAsia="fr-BE"/>
        </w:rPr>
        <w:t>3</w:t>
      </w:r>
      <w:r w:rsidR="00C8372B" w:rsidRPr="00C8372B">
        <w:rPr>
          <w:rFonts w:eastAsia="Times New Roman" w:cs="Times New Roman"/>
          <w:bCs/>
          <w:sz w:val="20"/>
          <w:szCs w:val="36"/>
          <w:lang w:eastAsia="fr-BE"/>
        </w:rPr>
        <w:t>)</w:t>
      </w:r>
    </w:p>
    <w:p w14:paraId="5D236BF8" w14:textId="77777777" w:rsidR="00735FDD" w:rsidRDefault="00030206">
      <w:pPr>
        <w:spacing w:beforeAutospacing="1" w:afterAutospacing="1" w:line="240" w:lineRule="auto"/>
        <w:rPr>
          <w:rFonts w:eastAsia="Times New Roman" w:cs="Times New Roman"/>
          <w:sz w:val="24"/>
          <w:szCs w:val="24"/>
          <w:lang w:eastAsia="fr-BE"/>
        </w:rPr>
      </w:pPr>
      <w:r>
        <w:rPr>
          <w:rFonts w:eastAsia="Times New Roman" w:cs="Times New Roman"/>
          <w:sz w:val="24"/>
          <w:szCs w:val="24"/>
          <w:lang w:eastAsia="fr-BE"/>
        </w:rPr>
        <w:t>L</w:t>
      </w:r>
      <w:r w:rsidR="00B649E1">
        <w:rPr>
          <w:rFonts w:eastAsia="Times New Roman" w:cs="Times New Roman"/>
          <w:sz w:val="24"/>
          <w:szCs w:val="24"/>
          <w:lang w:eastAsia="fr-BE"/>
        </w:rPr>
        <w:t>’approche</w:t>
      </w:r>
      <w:r>
        <w:rPr>
          <w:rFonts w:eastAsia="Times New Roman" w:cs="Times New Roman"/>
          <w:sz w:val="24"/>
          <w:szCs w:val="24"/>
          <w:lang w:eastAsia="fr-BE"/>
        </w:rPr>
        <w:t xml:space="preserve"> de l’option AÉD part d’une interrogation sur la nature de la « durabilité » dans le travail de l’architecte et la production de l’habiter. </w:t>
      </w:r>
      <w:r w:rsidR="00B649E1">
        <w:rPr>
          <w:rFonts w:eastAsia="Times New Roman" w:cs="Times New Roman"/>
          <w:sz w:val="24"/>
          <w:szCs w:val="24"/>
          <w:lang w:eastAsia="fr-BE"/>
        </w:rPr>
        <w:t>Elle</w:t>
      </w:r>
      <w:r>
        <w:rPr>
          <w:rFonts w:eastAsia="Times New Roman" w:cs="Times New Roman"/>
          <w:sz w:val="24"/>
          <w:szCs w:val="24"/>
          <w:lang w:eastAsia="fr-BE"/>
        </w:rPr>
        <w:t xml:space="preserve"> cherche à comprendre les continuités entre natures et cultures, humains et non humains, tout comme les ruptures entre le dire et le faire</w:t>
      </w:r>
      <w:r w:rsidR="00A2232E">
        <w:rPr>
          <w:rFonts w:eastAsia="Times New Roman" w:cs="Times New Roman"/>
          <w:sz w:val="24"/>
          <w:szCs w:val="24"/>
          <w:lang w:eastAsia="fr-BE"/>
        </w:rPr>
        <w:t>,</w:t>
      </w:r>
      <w:r>
        <w:rPr>
          <w:rFonts w:eastAsia="Times New Roman" w:cs="Times New Roman"/>
          <w:sz w:val="24"/>
          <w:szCs w:val="24"/>
          <w:lang w:eastAsia="fr-BE"/>
        </w:rPr>
        <w:t xml:space="preserve"> pour </w:t>
      </w:r>
      <w:r w:rsidR="00A2232E">
        <w:rPr>
          <w:rFonts w:eastAsia="Times New Roman" w:cs="Times New Roman"/>
          <w:sz w:val="24"/>
          <w:szCs w:val="24"/>
          <w:lang w:eastAsia="fr-BE"/>
        </w:rPr>
        <w:t xml:space="preserve">faire œuvre utile, </w:t>
      </w:r>
      <w:r>
        <w:rPr>
          <w:rFonts w:eastAsia="Times New Roman" w:cs="Times New Roman"/>
          <w:sz w:val="24"/>
          <w:szCs w:val="24"/>
          <w:lang w:eastAsia="fr-BE"/>
        </w:rPr>
        <w:t xml:space="preserve">éviter le </w:t>
      </w:r>
      <w:r>
        <w:rPr>
          <w:rFonts w:eastAsia="Times New Roman" w:cs="Times New Roman"/>
          <w:i/>
          <w:sz w:val="24"/>
          <w:szCs w:val="24"/>
          <w:lang w:eastAsia="fr-BE"/>
        </w:rPr>
        <w:t>greenwashing</w:t>
      </w:r>
      <w:r>
        <w:rPr>
          <w:rFonts w:eastAsia="Times New Roman" w:cs="Times New Roman"/>
          <w:sz w:val="24"/>
          <w:szCs w:val="24"/>
          <w:lang w:eastAsia="fr-BE"/>
        </w:rPr>
        <w:t>, redevenir producteur (et non consommateur) d’habiter et devenir</w:t>
      </w:r>
      <w:r w:rsidR="00735FDD">
        <w:rPr>
          <w:rFonts w:eastAsia="Times New Roman" w:cs="Times New Roman"/>
          <w:sz w:val="24"/>
          <w:szCs w:val="24"/>
          <w:lang w:eastAsia="fr-BE"/>
        </w:rPr>
        <w:t>, si possible,</w:t>
      </w:r>
      <w:r>
        <w:rPr>
          <w:rFonts w:eastAsia="Times New Roman" w:cs="Times New Roman"/>
          <w:sz w:val="24"/>
          <w:szCs w:val="24"/>
          <w:lang w:eastAsia="fr-BE"/>
        </w:rPr>
        <w:t xml:space="preserve"> des êtres « non-inhumains » (B. Stiegler) en dépit de l’insoutenable bêtise du système. </w:t>
      </w:r>
    </w:p>
    <w:p w14:paraId="32F1E688" w14:textId="70F32732" w:rsidR="00426C29" w:rsidRDefault="00030206">
      <w:pPr>
        <w:spacing w:beforeAutospacing="1" w:afterAutospacing="1" w:line="240" w:lineRule="auto"/>
        <w:rPr>
          <w:rFonts w:eastAsia="Times New Roman" w:cs="Times New Roman"/>
          <w:sz w:val="24"/>
          <w:szCs w:val="24"/>
          <w:lang w:eastAsia="fr-BE"/>
        </w:rPr>
      </w:pPr>
      <w:r>
        <w:rPr>
          <w:rFonts w:eastAsia="Times New Roman" w:cs="Times New Roman"/>
          <w:sz w:val="24"/>
          <w:szCs w:val="24"/>
          <w:lang w:eastAsia="fr-BE"/>
        </w:rPr>
        <w:t xml:space="preserve">Ce questionnement s’est nourri, au fil des années, du travail </w:t>
      </w:r>
      <w:r w:rsidR="006A5B4D">
        <w:rPr>
          <w:rFonts w:eastAsia="Times New Roman" w:cs="Times New Roman"/>
          <w:sz w:val="24"/>
          <w:szCs w:val="24"/>
          <w:lang w:eastAsia="fr-BE"/>
        </w:rPr>
        <w:t>réalisé notamment</w:t>
      </w:r>
      <w:r>
        <w:rPr>
          <w:rFonts w:eastAsia="Times New Roman" w:cs="Times New Roman"/>
          <w:sz w:val="24"/>
          <w:szCs w:val="24"/>
          <w:lang w:eastAsia="fr-BE"/>
        </w:rPr>
        <w:t xml:space="preserve"> en Région de Bruxelles-Capitale autour de la construction durable </w:t>
      </w:r>
      <w:r w:rsidR="00735FDD">
        <w:rPr>
          <w:rFonts w:eastAsia="Times New Roman" w:cs="Times New Roman"/>
          <w:sz w:val="24"/>
          <w:szCs w:val="24"/>
          <w:lang w:eastAsia="fr-BE"/>
        </w:rPr>
        <w:t xml:space="preserve">et des </w:t>
      </w:r>
      <w:r>
        <w:rPr>
          <w:rFonts w:eastAsia="Times New Roman" w:cs="Times New Roman"/>
          <w:sz w:val="24"/>
          <w:szCs w:val="24"/>
          <w:lang w:eastAsia="fr-BE"/>
        </w:rPr>
        <w:t xml:space="preserve">Bâtiments exemplaires, de </w:t>
      </w:r>
      <w:r w:rsidR="00735FDD">
        <w:rPr>
          <w:rFonts w:eastAsia="Times New Roman" w:cs="Times New Roman"/>
          <w:sz w:val="24"/>
          <w:szCs w:val="24"/>
          <w:lang w:eastAsia="fr-BE"/>
        </w:rPr>
        <w:t>la dissémination</w:t>
      </w:r>
      <w:r>
        <w:rPr>
          <w:rFonts w:eastAsia="Times New Roman" w:cs="Times New Roman"/>
          <w:sz w:val="24"/>
          <w:szCs w:val="24"/>
          <w:lang w:eastAsia="fr-BE"/>
        </w:rPr>
        <w:t xml:space="preserve"> du standard passif </w:t>
      </w:r>
      <w:r w:rsidR="007D2380">
        <w:rPr>
          <w:rFonts w:eastAsia="Times New Roman" w:cs="Times New Roman"/>
          <w:sz w:val="24"/>
          <w:szCs w:val="24"/>
          <w:lang w:eastAsia="fr-BE"/>
        </w:rPr>
        <w:t>(</w:t>
      </w:r>
      <w:hyperlink r:id="rId7" w:history="1">
        <w:r w:rsidR="007D2380" w:rsidRPr="003E64EE">
          <w:rPr>
            <w:rStyle w:val="Lienhypertexte"/>
            <w:rFonts w:eastAsia="Times New Roman" w:cs="Times New Roman"/>
            <w:sz w:val="24"/>
            <w:szCs w:val="24"/>
            <w:lang w:eastAsia="fr-BE"/>
          </w:rPr>
          <w:t>www.</w:t>
        </w:r>
        <w:r w:rsidR="007D2380" w:rsidRPr="003E64EE">
          <w:rPr>
            <w:rStyle w:val="Lienhypertexte"/>
            <w:rFonts w:eastAsia="Times New Roman" w:cs="Times New Roman"/>
            <w:bCs/>
            <w:sz w:val="24"/>
            <w:szCs w:val="24"/>
            <w:lang w:eastAsia="fr-BE"/>
          </w:rPr>
          <w:t>bepassive.be</w:t>
        </w:r>
      </w:hyperlink>
      <w:r w:rsidR="007D2380">
        <w:rPr>
          <w:rFonts w:eastAsia="Times New Roman" w:cs="Times New Roman"/>
          <w:bCs/>
          <w:sz w:val="24"/>
          <w:szCs w:val="24"/>
          <w:lang w:eastAsia="fr-BE"/>
        </w:rPr>
        <w:t>)</w:t>
      </w:r>
      <w:r w:rsidR="00735FDD" w:rsidRPr="00735FDD">
        <w:rPr>
          <w:rFonts w:eastAsia="Times New Roman" w:cs="Times New Roman"/>
          <w:sz w:val="24"/>
          <w:szCs w:val="24"/>
          <w:lang w:eastAsia="fr-BE"/>
        </w:rPr>
        <w:t>, de</w:t>
      </w:r>
      <w:r w:rsidR="00735FDD">
        <w:rPr>
          <w:rFonts w:eastAsia="Times New Roman" w:cs="Times New Roman"/>
          <w:sz w:val="24"/>
          <w:szCs w:val="24"/>
          <w:lang w:eastAsia="fr-BE"/>
        </w:rPr>
        <w:t xml:space="preserve"> l’avancement </w:t>
      </w:r>
      <w:r>
        <w:rPr>
          <w:rFonts w:eastAsia="Times New Roman" w:cs="Times New Roman"/>
          <w:sz w:val="24"/>
          <w:szCs w:val="24"/>
          <w:lang w:eastAsia="fr-BE"/>
        </w:rPr>
        <w:t>des réglementations énergétiques ou encore des quartiers durables (Mémento et activité comme facilitateur pour la RBC)</w:t>
      </w:r>
      <w:r w:rsidR="00A2232E">
        <w:rPr>
          <w:rFonts w:eastAsia="Times New Roman" w:cs="Times New Roman"/>
          <w:sz w:val="24"/>
          <w:szCs w:val="24"/>
          <w:lang w:eastAsia="fr-BE"/>
        </w:rPr>
        <w:t xml:space="preserve"> et de la pratique de l’architecture</w:t>
      </w:r>
      <w:r w:rsidR="00735FDD">
        <w:rPr>
          <w:rFonts w:eastAsia="Times New Roman" w:cs="Times New Roman"/>
          <w:sz w:val="24"/>
          <w:szCs w:val="24"/>
          <w:lang w:eastAsia="fr-BE"/>
        </w:rPr>
        <w:t>.</w:t>
      </w:r>
    </w:p>
    <w:p w14:paraId="0525B64B" w14:textId="28A20733" w:rsidR="00426C29" w:rsidRDefault="00030206">
      <w:pPr>
        <w:numPr>
          <w:ilvl w:val="0"/>
          <w:numId w:val="2"/>
        </w:numPr>
        <w:spacing w:beforeAutospacing="1" w:afterAutospacing="1" w:line="240" w:lineRule="auto"/>
        <w:rPr>
          <w:rFonts w:eastAsia="Times New Roman" w:cs="Times New Roman"/>
          <w:sz w:val="24"/>
          <w:szCs w:val="24"/>
          <w:lang w:eastAsia="fr-BE"/>
        </w:rPr>
      </w:pPr>
      <w:r>
        <w:rPr>
          <w:rFonts w:eastAsia="Times New Roman" w:cs="Times New Roman"/>
          <w:sz w:val="24"/>
          <w:szCs w:val="24"/>
          <w:lang w:eastAsia="fr-BE"/>
        </w:rPr>
        <w:t xml:space="preserve">Le Module </w:t>
      </w:r>
      <w:r>
        <w:rPr>
          <w:rFonts w:eastAsia="Times New Roman" w:cs="Times New Roman"/>
          <w:b/>
          <w:bCs/>
          <w:sz w:val="24"/>
          <w:szCs w:val="24"/>
          <w:lang w:eastAsia="fr-BE"/>
        </w:rPr>
        <w:t>AÉD1</w:t>
      </w:r>
      <w:r>
        <w:rPr>
          <w:rFonts w:eastAsia="Times New Roman" w:cs="Times New Roman"/>
          <w:sz w:val="24"/>
          <w:szCs w:val="24"/>
          <w:lang w:eastAsia="fr-BE"/>
        </w:rPr>
        <w:t xml:space="preserve"> visite la thématique de la durabilité à l’échelle du</w:t>
      </w:r>
      <w:r w:rsidR="00280FEF">
        <w:rPr>
          <w:rFonts w:eastAsia="Times New Roman" w:cs="Times New Roman"/>
          <w:sz w:val="24"/>
          <w:szCs w:val="24"/>
          <w:lang w:eastAsia="fr-BE"/>
        </w:rPr>
        <w:t>/des</w:t>
      </w:r>
      <w:r>
        <w:rPr>
          <w:rFonts w:eastAsia="Times New Roman" w:cs="Times New Roman"/>
          <w:sz w:val="24"/>
          <w:szCs w:val="24"/>
          <w:lang w:eastAsia="fr-BE"/>
        </w:rPr>
        <w:t xml:space="preserve"> Commun</w:t>
      </w:r>
      <w:r w:rsidR="00280FEF">
        <w:rPr>
          <w:rFonts w:eastAsia="Times New Roman" w:cs="Times New Roman"/>
          <w:sz w:val="24"/>
          <w:szCs w:val="24"/>
          <w:lang w:eastAsia="fr-BE"/>
        </w:rPr>
        <w:t>(s)</w:t>
      </w:r>
      <w:r>
        <w:rPr>
          <w:rFonts w:eastAsia="Times New Roman" w:cs="Times New Roman"/>
          <w:sz w:val="24"/>
          <w:szCs w:val="24"/>
          <w:lang w:eastAsia="fr-BE"/>
        </w:rPr>
        <w:t>, en particulier celle des quartiers, qui reflète le mieux les modes de vie. Il interroge et reconstruit avec les étudiants les logiques fondatrices de la durabilité</w:t>
      </w:r>
      <w:r w:rsidR="00671454">
        <w:rPr>
          <w:rFonts w:eastAsia="Times New Roman" w:cs="Times New Roman"/>
          <w:sz w:val="24"/>
          <w:szCs w:val="24"/>
          <w:lang w:eastAsia="fr-BE"/>
        </w:rPr>
        <w:t xml:space="preserve"> et permet de construire un répertoire de concepts, de références, de pratiques</w:t>
      </w:r>
      <w:r>
        <w:rPr>
          <w:rFonts w:eastAsia="Times New Roman" w:cs="Times New Roman"/>
          <w:sz w:val="24"/>
          <w:szCs w:val="24"/>
          <w:lang w:eastAsia="fr-BE"/>
        </w:rPr>
        <w:t xml:space="preserve">, indispensable au développement d’une approche </w:t>
      </w:r>
      <w:r w:rsidR="00671454">
        <w:rPr>
          <w:rFonts w:eastAsia="Times New Roman" w:cs="Times New Roman"/>
          <w:sz w:val="24"/>
          <w:szCs w:val="24"/>
          <w:lang w:eastAsia="fr-BE"/>
        </w:rPr>
        <w:t xml:space="preserve">à la fois engagée et </w:t>
      </w:r>
      <w:r>
        <w:rPr>
          <w:rFonts w:eastAsia="Times New Roman" w:cs="Times New Roman"/>
          <w:sz w:val="24"/>
          <w:szCs w:val="24"/>
          <w:lang w:eastAsia="fr-BE"/>
        </w:rPr>
        <w:t>critique.</w:t>
      </w:r>
    </w:p>
    <w:p w14:paraId="12CF0848" w14:textId="01674CE5" w:rsidR="00426C29" w:rsidRDefault="00030206">
      <w:pPr>
        <w:numPr>
          <w:ilvl w:val="0"/>
          <w:numId w:val="2"/>
        </w:numPr>
        <w:spacing w:beforeAutospacing="1" w:afterAutospacing="1" w:line="240" w:lineRule="auto"/>
        <w:rPr>
          <w:rFonts w:eastAsia="Times New Roman" w:cs="Times New Roman"/>
          <w:sz w:val="24"/>
          <w:szCs w:val="24"/>
          <w:lang w:eastAsia="fr-BE"/>
        </w:rPr>
      </w:pPr>
      <w:proofErr w:type="gramStart"/>
      <w:r>
        <w:rPr>
          <w:rFonts w:eastAsia="Times New Roman" w:cs="Times New Roman"/>
          <w:sz w:val="24"/>
          <w:szCs w:val="24"/>
          <w:lang w:eastAsia="fr-BE"/>
        </w:rPr>
        <w:t>le</w:t>
      </w:r>
      <w:proofErr w:type="gramEnd"/>
      <w:r>
        <w:rPr>
          <w:rFonts w:eastAsia="Times New Roman" w:cs="Times New Roman"/>
          <w:sz w:val="24"/>
          <w:szCs w:val="24"/>
          <w:lang w:eastAsia="fr-BE"/>
        </w:rPr>
        <w:t xml:space="preserve"> Module </w:t>
      </w:r>
      <w:r>
        <w:rPr>
          <w:rFonts w:eastAsia="Times New Roman" w:cs="Times New Roman"/>
          <w:b/>
          <w:bCs/>
          <w:sz w:val="24"/>
          <w:szCs w:val="24"/>
          <w:lang w:eastAsia="fr-BE"/>
        </w:rPr>
        <w:t>AÉD2</w:t>
      </w:r>
      <w:r>
        <w:rPr>
          <w:rFonts w:eastAsia="Times New Roman" w:cs="Times New Roman"/>
          <w:sz w:val="24"/>
          <w:szCs w:val="24"/>
          <w:lang w:eastAsia="fr-BE"/>
        </w:rPr>
        <w:t xml:space="preserve"> propose un point de vue plus opérationnel à l’échelle de la conception des bâtiments durables</w:t>
      </w:r>
      <w:r w:rsidR="009E47E1">
        <w:rPr>
          <w:rFonts w:eastAsia="Times New Roman" w:cs="Times New Roman"/>
          <w:sz w:val="24"/>
          <w:szCs w:val="24"/>
          <w:lang w:eastAsia="fr-BE"/>
        </w:rPr>
        <w:t xml:space="preserve"> et confronte la question du rapport de l’architecte au dérèglement climatique</w:t>
      </w:r>
      <w:r>
        <w:rPr>
          <w:rFonts w:eastAsia="Times New Roman" w:cs="Times New Roman"/>
          <w:sz w:val="24"/>
          <w:szCs w:val="24"/>
          <w:lang w:eastAsia="fr-BE"/>
        </w:rPr>
        <w:t xml:space="preserve">. Il donne accès à des approches spécialisées (logiciels, ciel artificiel, etc.), à des références actuelles (certifications, </w:t>
      </w:r>
      <w:proofErr w:type="spellStart"/>
      <w:r>
        <w:rPr>
          <w:rFonts w:eastAsia="Times New Roman" w:cs="Times New Roman"/>
          <w:sz w:val="24"/>
          <w:szCs w:val="24"/>
          <w:lang w:eastAsia="fr-BE"/>
        </w:rPr>
        <w:t>Batex</w:t>
      </w:r>
      <w:proofErr w:type="spellEnd"/>
      <w:r>
        <w:rPr>
          <w:rFonts w:eastAsia="Times New Roman" w:cs="Times New Roman"/>
          <w:sz w:val="24"/>
          <w:szCs w:val="24"/>
          <w:lang w:eastAsia="fr-BE"/>
        </w:rPr>
        <w:t xml:space="preserve">, passif, </w:t>
      </w:r>
      <w:proofErr w:type="spellStart"/>
      <w:r>
        <w:rPr>
          <w:rFonts w:eastAsia="Times New Roman" w:cs="Times New Roman"/>
          <w:sz w:val="24"/>
          <w:szCs w:val="24"/>
          <w:lang w:eastAsia="fr-BE"/>
        </w:rPr>
        <w:t>nZEB</w:t>
      </w:r>
      <w:proofErr w:type="spellEnd"/>
      <w:r>
        <w:rPr>
          <w:rFonts w:eastAsia="Times New Roman" w:cs="Times New Roman"/>
          <w:sz w:val="24"/>
          <w:szCs w:val="24"/>
          <w:lang w:eastAsia="fr-BE"/>
        </w:rPr>
        <w:t>, etc.) permettant d’évaluer la durabilité du projet et permet de rencontrer des professionnels engagés (architectes, entrepreneurs, etc.) dans l’écoconstruction.</w:t>
      </w:r>
    </w:p>
    <w:p w14:paraId="05A51E89" w14:textId="707BA702" w:rsidR="009D1556" w:rsidRPr="007D2380" w:rsidRDefault="009E47E1" w:rsidP="007D2380">
      <w:pPr>
        <w:numPr>
          <w:ilvl w:val="0"/>
          <w:numId w:val="2"/>
        </w:numPr>
        <w:spacing w:beforeAutospacing="1" w:afterAutospacing="1" w:line="240" w:lineRule="auto"/>
        <w:rPr>
          <w:rFonts w:eastAsia="Times New Roman" w:cs="Times New Roman"/>
          <w:sz w:val="24"/>
          <w:szCs w:val="24"/>
          <w:lang w:eastAsia="fr-BE"/>
        </w:rPr>
      </w:pPr>
      <w:r>
        <w:rPr>
          <w:rFonts w:eastAsia="Times New Roman" w:cs="Times New Roman"/>
          <w:sz w:val="24"/>
          <w:szCs w:val="24"/>
          <w:lang w:eastAsia="fr-BE"/>
        </w:rPr>
        <w:t>(</w:t>
      </w:r>
      <w:r w:rsidR="008A2711">
        <w:rPr>
          <w:rFonts w:eastAsia="Times New Roman" w:cs="Times New Roman"/>
          <w:sz w:val="24"/>
          <w:szCs w:val="24"/>
          <w:lang w:eastAsia="fr-BE"/>
        </w:rPr>
        <w:t xml:space="preserve">Le Module </w:t>
      </w:r>
      <w:r w:rsidR="008A2711" w:rsidRPr="008A2711">
        <w:rPr>
          <w:rFonts w:eastAsia="Times New Roman" w:cs="Times New Roman"/>
          <w:b/>
          <w:sz w:val="24"/>
          <w:szCs w:val="24"/>
          <w:lang w:eastAsia="fr-BE"/>
        </w:rPr>
        <w:t>AÉD3</w:t>
      </w:r>
      <w:r w:rsidR="008A2711">
        <w:rPr>
          <w:rFonts w:eastAsia="Times New Roman" w:cs="Times New Roman"/>
          <w:sz w:val="24"/>
          <w:szCs w:val="24"/>
          <w:lang w:eastAsia="fr-BE"/>
        </w:rPr>
        <w:t xml:space="preserve"> n’est pas ouvert cette année.</w:t>
      </w:r>
      <w:r>
        <w:rPr>
          <w:rFonts w:eastAsia="Times New Roman" w:cs="Times New Roman"/>
          <w:sz w:val="24"/>
          <w:szCs w:val="24"/>
          <w:lang w:eastAsia="fr-BE"/>
        </w:rPr>
        <w:t>)</w:t>
      </w:r>
    </w:p>
    <w:p w14:paraId="2A911BC7" w14:textId="77777777" w:rsidR="00426C29" w:rsidRDefault="00030206">
      <w:pPr>
        <w:spacing w:beforeAutospacing="1" w:afterAutospacing="1" w:line="240" w:lineRule="auto"/>
        <w:outlineLvl w:val="1"/>
        <w:rPr>
          <w:rFonts w:eastAsia="Times New Roman" w:cs="Times New Roman"/>
          <w:b/>
          <w:bCs/>
          <w:sz w:val="36"/>
          <w:szCs w:val="36"/>
          <w:lang w:eastAsia="fr-BE"/>
        </w:rPr>
      </w:pPr>
      <w:r>
        <w:rPr>
          <w:rFonts w:eastAsia="Times New Roman" w:cs="Times New Roman"/>
          <w:b/>
          <w:bCs/>
          <w:sz w:val="36"/>
          <w:szCs w:val="36"/>
          <w:lang w:eastAsia="fr-BE"/>
        </w:rPr>
        <w:t>AED1 - L’échelle d</w:t>
      </w:r>
      <w:r w:rsidR="00D842AC">
        <w:rPr>
          <w:rFonts w:eastAsia="Times New Roman" w:cs="Times New Roman"/>
          <w:b/>
          <w:bCs/>
          <w:sz w:val="36"/>
          <w:szCs w:val="36"/>
          <w:lang w:eastAsia="fr-BE"/>
        </w:rPr>
        <w:t>u</w:t>
      </w:r>
      <w:r>
        <w:rPr>
          <w:rFonts w:eastAsia="Times New Roman" w:cs="Times New Roman"/>
          <w:b/>
          <w:bCs/>
          <w:sz w:val="36"/>
          <w:szCs w:val="36"/>
          <w:lang w:eastAsia="fr-BE"/>
        </w:rPr>
        <w:t xml:space="preserve"> </w:t>
      </w:r>
      <w:r w:rsidR="00D842AC">
        <w:rPr>
          <w:rFonts w:eastAsia="Times New Roman" w:cs="Times New Roman"/>
          <w:b/>
          <w:bCs/>
          <w:sz w:val="36"/>
          <w:szCs w:val="36"/>
          <w:lang w:eastAsia="fr-BE"/>
        </w:rPr>
        <w:t>c</w:t>
      </w:r>
      <w:r w:rsidR="00BF5BF1">
        <w:rPr>
          <w:rFonts w:eastAsia="Times New Roman" w:cs="Times New Roman"/>
          <w:b/>
          <w:bCs/>
          <w:sz w:val="36"/>
          <w:szCs w:val="36"/>
          <w:lang w:eastAsia="fr-BE"/>
        </w:rPr>
        <w:t>ommun</w:t>
      </w:r>
      <w:r>
        <w:rPr>
          <w:rFonts w:eastAsia="Times New Roman" w:cs="Times New Roman"/>
          <w:b/>
          <w:bCs/>
          <w:sz w:val="36"/>
          <w:szCs w:val="36"/>
          <w:lang w:eastAsia="fr-BE"/>
        </w:rPr>
        <w:t xml:space="preserve"> (module 1) - ARCH–P7119</w:t>
      </w:r>
    </w:p>
    <w:p w14:paraId="1BE36900" w14:textId="1DAB6647" w:rsidR="00426C29" w:rsidRDefault="009E47E1">
      <w:pPr>
        <w:spacing w:beforeAutospacing="1" w:afterAutospacing="1" w:line="240" w:lineRule="auto"/>
        <w:rPr>
          <w:rFonts w:eastAsia="Times New Roman" w:cs="Times New Roman"/>
          <w:sz w:val="24"/>
          <w:szCs w:val="24"/>
          <w:lang w:eastAsia="fr-BE"/>
        </w:rPr>
      </w:pPr>
      <w:r>
        <w:rPr>
          <w:rFonts w:eastAsia="Times New Roman" w:cs="Times New Roman"/>
          <w:sz w:val="24"/>
          <w:szCs w:val="24"/>
          <w:lang w:eastAsia="fr-BE"/>
        </w:rPr>
        <w:t>Trois</w:t>
      </w:r>
      <w:r w:rsidR="00030206">
        <w:rPr>
          <w:rFonts w:eastAsia="Times New Roman" w:cs="Times New Roman"/>
          <w:sz w:val="24"/>
          <w:szCs w:val="24"/>
          <w:lang w:eastAsia="fr-BE"/>
        </w:rPr>
        <w:t xml:space="preserve"> </w:t>
      </w:r>
      <w:r w:rsidR="00030206">
        <w:rPr>
          <w:rFonts w:eastAsia="Times New Roman" w:cs="Times New Roman"/>
          <w:b/>
          <w:bCs/>
          <w:sz w:val="24"/>
          <w:szCs w:val="24"/>
          <w:lang w:eastAsia="fr-BE"/>
        </w:rPr>
        <w:t>séminaires</w:t>
      </w:r>
      <w:r w:rsidR="00030206">
        <w:rPr>
          <w:rFonts w:eastAsia="Times New Roman" w:cs="Times New Roman"/>
          <w:sz w:val="24"/>
          <w:szCs w:val="24"/>
          <w:lang w:eastAsia="fr-BE"/>
        </w:rPr>
        <w:t xml:space="preserve"> </w:t>
      </w:r>
      <w:r w:rsidR="00920A90">
        <w:rPr>
          <w:rFonts w:eastAsia="Times New Roman" w:cs="Times New Roman"/>
          <w:sz w:val="24"/>
          <w:szCs w:val="24"/>
          <w:lang w:eastAsia="fr-BE"/>
        </w:rPr>
        <w:t xml:space="preserve">et </w:t>
      </w:r>
      <w:r w:rsidR="008A2711">
        <w:rPr>
          <w:rFonts w:eastAsia="Times New Roman" w:cs="Times New Roman"/>
          <w:sz w:val="24"/>
          <w:szCs w:val="24"/>
          <w:lang w:eastAsia="fr-BE"/>
        </w:rPr>
        <w:t xml:space="preserve">un </w:t>
      </w:r>
      <w:r w:rsidR="00920A90" w:rsidRPr="008A2711">
        <w:rPr>
          <w:rFonts w:eastAsia="Times New Roman" w:cs="Times New Roman"/>
          <w:b/>
          <w:sz w:val="24"/>
          <w:szCs w:val="24"/>
          <w:lang w:eastAsia="fr-BE"/>
        </w:rPr>
        <w:t>exercice</w:t>
      </w:r>
      <w:r w:rsidR="00920A90">
        <w:rPr>
          <w:rFonts w:eastAsia="Times New Roman" w:cs="Times New Roman"/>
          <w:sz w:val="24"/>
          <w:szCs w:val="24"/>
          <w:lang w:eastAsia="fr-BE"/>
        </w:rPr>
        <w:t xml:space="preserve"> </w:t>
      </w:r>
      <w:r w:rsidR="00030206">
        <w:rPr>
          <w:rFonts w:eastAsia="Times New Roman" w:cs="Times New Roman"/>
          <w:sz w:val="24"/>
          <w:szCs w:val="24"/>
          <w:lang w:eastAsia="fr-BE"/>
        </w:rPr>
        <w:t xml:space="preserve">forment la trame du Module </w:t>
      </w:r>
      <w:r w:rsidR="00030206">
        <w:rPr>
          <w:rFonts w:eastAsia="Times New Roman" w:cs="Times New Roman"/>
          <w:b/>
          <w:bCs/>
          <w:sz w:val="24"/>
          <w:szCs w:val="24"/>
          <w:lang w:eastAsia="fr-BE"/>
        </w:rPr>
        <w:t>AÉD1</w:t>
      </w:r>
      <w:r w:rsidR="00030206">
        <w:rPr>
          <w:rFonts w:eastAsia="Times New Roman" w:cs="Times New Roman"/>
          <w:sz w:val="24"/>
          <w:szCs w:val="24"/>
          <w:lang w:eastAsia="fr-BE"/>
        </w:rPr>
        <w:t xml:space="preserve"> (voir la fiche de cours pour les références bibliographiques, etc.). Les enseignants sont Isabelle Prignot, </w:t>
      </w:r>
      <w:r w:rsidR="006A5B4D">
        <w:rPr>
          <w:rFonts w:eastAsia="Times New Roman" w:cs="Times New Roman"/>
          <w:sz w:val="24"/>
          <w:szCs w:val="24"/>
          <w:lang w:eastAsia="fr-BE"/>
        </w:rPr>
        <w:t>Jean Garcin</w:t>
      </w:r>
      <w:r w:rsidR="006A5B4D" w:rsidRPr="006A5B4D">
        <w:rPr>
          <w:rFonts w:eastAsia="Times New Roman" w:cs="Times New Roman"/>
          <w:sz w:val="24"/>
          <w:szCs w:val="24"/>
          <w:lang w:eastAsia="fr-BE"/>
        </w:rPr>
        <w:t xml:space="preserve"> </w:t>
      </w:r>
      <w:r w:rsidR="006A5B4D">
        <w:rPr>
          <w:rFonts w:eastAsia="Times New Roman" w:cs="Times New Roman"/>
          <w:sz w:val="24"/>
          <w:szCs w:val="24"/>
          <w:lang w:eastAsia="fr-BE"/>
        </w:rPr>
        <w:t>et Bernard Deprez (coordinateur)</w:t>
      </w:r>
      <w:r w:rsidR="00B649E1">
        <w:rPr>
          <w:rFonts w:eastAsia="Times New Roman" w:cs="Times New Roman"/>
          <w:sz w:val="24"/>
          <w:szCs w:val="24"/>
          <w:lang w:eastAsia="fr-BE"/>
        </w:rPr>
        <w:t>.</w:t>
      </w:r>
    </w:p>
    <w:p w14:paraId="7E3FF851" w14:textId="67154EC6" w:rsidR="00426C29" w:rsidRPr="002666CA" w:rsidRDefault="00030206" w:rsidP="002666CA">
      <w:pPr>
        <w:numPr>
          <w:ilvl w:val="0"/>
          <w:numId w:val="1"/>
        </w:numPr>
        <w:spacing w:before="120" w:after="120" w:line="240" w:lineRule="auto"/>
        <w:rPr>
          <w:rFonts w:eastAsia="Times New Roman" w:cs="Times New Roman"/>
          <w:sz w:val="24"/>
          <w:szCs w:val="24"/>
          <w:lang w:eastAsia="fr-BE"/>
        </w:rPr>
      </w:pPr>
      <w:bookmarkStart w:id="0" w:name="_Hlk50569060"/>
      <w:r w:rsidRPr="002666CA">
        <w:rPr>
          <w:rFonts w:eastAsia="Times New Roman" w:cs="Times New Roman"/>
          <w:b/>
          <w:bCs/>
          <w:sz w:val="24"/>
          <w:szCs w:val="24"/>
          <w:lang w:eastAsia="fr-BE"/>
        </w:rPr>
        <w:t>Les écoquartiers et quartiers durables contemporains</w:t>
      </w:r>
      <w:r w:rsidRPr="002666CA">
        <w:rPr>
          <w:rFonts w:eastAsia="Times New Roman" w:cs="Times New Roman"/>
          <w:sz w:val="24"/>
          <w:szCs w:val="24"/>
          <w:lang w:eastAsia="fr-BE"/>
        </w:rPr>
        <w:t xml:space="preserve"> (</w:t>
      </w:r>
      <w:r w:rsidR="00FD6888">
        <w:rPr>
          <w:rFonts w:eastAsia="Times New Roman" w:cs="Times New Roman"/>
          <w:sz w:val="24"/>
          <w:szCs w:val="24"/>
          <w:lang w:eastAsia="fr-BE"/>
        </w:rPr>
        <w:t>Benoit Quevrin</w:t>
      </w:r>
      <w:r w:rsidRPr="002666CA">
        <w:rPr>
          <w:rFonts w:eastAsia="Times New Roman" w:cs="Times New Roman"/>
          <w:sz w:val="24"/>
          <w:szCs w:val="24"/>
          <w:lang w:eastAsia="fr-BE"/>
        </w:rPr>
        <w:t xml:space="preserve">) : les principes de durabilité sont interrogés à l’aune du « bien commun » et illustrés en particulier par l’expérience des récents quartiers durables construits en Europe, les principes réunis dans le </w:t>
      </w:r>
      <w:r w:rsidRPr="002666CA">
        <w:rPr>
          <w:rFonts w:eastAsia="Times New Roman" w:cs="Times New Roman"/>
          <w:i/>
          <w:iCs/>
          <w:sz w:val="24"/>
          <w:szCs w:val="24"/>
          <w:lang w:eastAsia="fr-BE"/>
        </w:rPr>
        <w:t>Mémento pour des quartiers durables</w:t>
      </w:r>
      <w:r w:rsidRPr="002666CA">
        <w:rPr>
          <w:rFonts w:eastAsia="Times New Roman" w:cs="Times New Roman"/>
          <w:sz w:val="24"/>
          <w:szCs w:val="24"/>
          <w:lang w:eastAsia="fr-BE"/>
        </w:rPr>
        <w:t xml:space="preserve"> (2009) et l’expérience acquise comme « facilitateur quartiers durables en région bruxelloise ». </w:t>
      </w:r>
    </w:p>
    <w:p w14:paraId="77263B07" w14:textId="37BDFC0D" w:rsidR="00426C29" w:rsidRPr="002666CA" w:rsidRDefault="00030206" w:rsidP="002666CA">
      <w:pPr>
        <w:numPr>
          <w:ilvl w:val="0"/>
          <w:numId w:val="1"/>
        </w:numPr>
        <w:spacing w:before="120" w:after="120" w:line="240" w:lineRule="auto"/>
        <w:rPr>
          <w:rFonts w:eastAsia="Times New Roman" w:cs="Times New Roman"/>
          <w:sz w:val="24"/>
          <w:szCs w:val="24"/>
          <w:lang w:eastAsia="fr-BE"/>
        </w:rPr>
      </w:pPr>
      <w:r w:rsidRPr="002666CA">
        <w:rPr>
          <w:rFonts w:eastAsia="Times New Roman" w:cs="Times New Roman"/>
          <w:b/>
          <w:bCs/>
          <w:sz w:val="24"/>
          <w:szCs w:val="24"/>
          <w:lang w:eastAsia="fr-BE"/>
        </w:rPr>
        <w:t>Questions d’architecture durable</w:t>
      </w:r>
      <w:r w:rsidRPr="002666CA">
        <w:rPr>
          <w:rFonts w:eastAsia="Times New Roman" w:cs="Times New Roman"/>
          <w:sz w:val="24"/>
          <w:szCs w:val="24"/>
          <w:lang w:eastAsia="fr-BE"/>
        </w:rPr>
        <w:t> (Bernard Deprez) : les thématiques (trois piliers, intergénérationnel, diversité des approches durables</w:t>
      </w:r>
      <w:r w:rsidR="00711676" w:rsidRPr="002666CA">
        <w:rPr>
          <w:rFonts w:eastAsia="Times New Roman" w:cs="Times New Roman"/>
          <w:sz w:val="24"/>
          <w:szCs w:val="24"/>
          <w:lang w:eastAsia="fr-BE"/>
        </w:rPr>
        <w:t xml:space="preserve"> et des « architectures durables »</w:t>
      </w:r>
      <w:r w:rsidRPr="002666CA">
        <w:rPr>
          <w:rFonts w:eastAsia="Times New Roman" w:cs="Times New Roman"/>
          <w:sz w:val="24"/>
          <w:szCs w:val="24"/>
          <w:lang w:eastAsia="fr-BE"/>
        </w:rPr>
        <w:t xml:space="preserve">, </w:t>
      </w:r>
      <w:r w:rsidR="00280FEF" w:rsidRPr="002666CA">
        <w:rPr>
          <w:rFonts w:eastAsia="Times New Roman" w:cs="Times New Roman"/>
          <w:sz w:val="24"/>
          <w:szCs w:val="24"/>
          <w:lang w:eastAsia="fr-BE"/>
        </w:rPr>
        <w:t xml:space="preserve">théorie des communs, </w:t>
      </w:r>
      <w:r w:rsidRPr="002666CA">
        <w:rPr>
          <w:rFonts w:eastAsia="Times New Roman" w:cs="Times New Roman"/>
          <w:sz w:val="24"/>
          <w:szCs w:val="24"/>
          <w:lang w:eastAsia="fr-BE"/>
        </w:rPr>
        <w:t xml:space="preserve">dimensions anthropologiques, </w:t>
      </w:r>
      <w:r w:rsidR="00FD6888">
        <w:rPr>
          <w:rFonts w:eastAsia="Times New Roman" w:cs="Times New Roman"/>
          <w:sz w:val="24"/>
          <w:szCs w:val="24"/>
          <w:lang w:eastAsia="fr-BE"/>
        </w:rPr>
        <w:t xml:space="preserve">Donut, </w:t>
      </w:r>
      <w:r w:rsidRPr="002666CA">
        <w:rPr>
          <w:rFonts w:eastAsia="Times New Roman" w:cs="Times New Roman"/>
          <w:sz w:val="24"/>
          <w:szCs w:val="24"/>
          <w:lang w:eastAsia="fr-BE"/>
        </w:rPr>
        <w:t>etc.</w:t>
      </w:r>
      <w:r w:rsidR="00B05FE7" w:rsidRPr="00B05FE7">
        <w:t xml:space="preserve"> </w:t>
      </w:r>
      <w:r w:rsidR="00B05FE7">
        <w:t xml:space="preserve">; les étudiants sont aussi invités à identifier des thématiques </w:t>
      </w:r>
      <w:proofErr w:type="spellStart"/>
      <w:r w:rsidR="00B05FE7">
        <w:t>relevantes</w:t>
      </w:r>
      <w:proofErr w:type="spellEnd"/>
      <w:r w:rsidRPr="002666CA">
        <w:rPr>
          <w:rFonts w:eastAsia="Times New Roman" w:cs="Times New Roman"/>
          <w:sz w:val="24"/>
          <w:szCs w:val="24"/>
          <w:lang w:eastAsia="fr-BE"/>
        </w:rPr>
        <w:t xml:space="preserve">) sont abordées </w:t>
      </w:r>
      <w:r w:rsidR="00711676" w:rsidRPr="002666CA">
        <w:rPr>
          <w:rFonts w:eastAsia="Times New Roman" w:cs="Times New Roman"/>
          <w:sz w:val="24"/>
          <w:szCs w:val="24"/>
          <w:lang w:eastAsia="fr-BE"/>
        </w:rPr>
        <w:t xml:space="preserve">et questionnées </w:t>
      </w:r>
      <w:r w:rsidR="00B9348C">
        <w:rPr>
          <w:rFonts w:eastAsia="Times New Roman" w:cs="Times New Roman"/>
          <w:sz w:val="24"/>
          <w:szCs w:val="24"/>
          <w:lang w:eastAsia="fr-BE"/>
        </w:rPr>
        <w:t>par l’analyse de textes</w:t>
      </w:r>
      <w:r w:rsidRPr="002666CA">
        <w:rPr>
          <w:rFonts w:eastAsia="Times New Roman" w:cs="Times New Roman"/>
          <w:sz w:val="24"/>
          <w:szCs w:val="24"/>
          <w:lang w:eastAsia="fr-BE"/>
        </w:rPr>
        <w:t xml:space="preserve"> (syllabus et articles associés</w:t>
      </w:r>
      <w:r w:rsidR="00B9348C">
        <w:rPr>
          <w:rFonts w:eastAsia="Times New Roman" w:cs="Times New Roman"/>
          <w:sz w:val="24"/>
          <w:szCs w:val="24"/>
          <w:lang w:eastAsia="fr-BE"/>
        </w:rPr>
        <w:t>, chapitres de livres, etc.</w:t>
      </w:r>
      <w:r w:rsidRPr="002666CA">
        <w:rPr>
          <w:rFonts w:eastAsia="Times New Roman" w:cs="Times New Roman"/>
          <w:sz w:val="24"/>
          <w:szCs w:val="24"/>
          <w:lang w:eastAsia="fr-BE"/>
        </w:rPr>
        <w:t xml:space="preserve">). </w:t>
      </w:r>
    </w:p>
    <w:p w14:paraId="4CCDCC1B" w14:textId="19B40657" w:rsidR="00426C29" w:rsidRPr="002666CA" w:rsidRDefault="0094727C" w:rsidP="002666CA">
      <w:pPr>
        <w:numPr>
          <w:ilvl w:val="0"/>
          <w:numId w:val="1"/>
        </w:numPr>
        <w:spacing w:before="120" w:after="120" w:line="240" w:lineRule="auto"/>
        <w:rPr>
          <w:rFonts w:eastAsia="Times New Roman" w:cs="Times New Roman"/>
          <w:sz w:val="24"/>
          <w:szCs w:val="24"/>
          <w:lang w:eastAsia="fr-BE"/>
        </w:rPr>
      </w:pPr>
      <w:bookmarkStart w:id="1" w:name="_Hlk50621106"/>
      <w:bookmarkEnd w:id="0"/>
      <w:r w:rsidRPr="002666CA">
        <w:rPr>
          <w:rFonts w:eastAsia="Times New Roman" w:cs="Times New Roman"/>
          <w:b/>
          <w:sz w:val="24"/>
          <w:szCs w:val="24"/>
          <w:lang w:eastAsia="fr-BE"/>
        </w:rPr>
        <w:lastRenderedPageBreak/>
        <w:t xml:space="preserve">La place des communs dans la production de logements en RBC </w:t>
      </w:r>
      <w:r w:rsidR="00274C9F" w:rsidRPr="002666CA">
        <w:rPr>
          <w:rFonts w:eastAsia="Times New Roman" w:cs="Times New Roman"/>
          <w:sz w:val="24"/>
          <w:szCs w:val="24"/>
          <w:lang w:eastAsia="fr-BE"/>
        </w:rPr>
        <w:t xml:space="preserve">(Jean Garcin) : </w:t>
      </w:r>
      <w:r w:rsidRPr="002666CA">
        <w:rPr>
          <w:rFonts w:eastAsia="Times New Roman" w:cs="Times New Roman"/>
          <w:sz w:val="24"/>
          <w:szCs w:val="24"/>
          <w:lang w:eastAsia="fr-BE"/>
        </w:rPr>
        <w:t xml:space="preserve">face aux défis que représente la transition énergétique et sociale et à la difficulté croissante de trouver des logements abordables, les acteurs du logement bruxellois innovent et imaginent des nouvelles typologies. D’autres initiatives (comme le </w:t>
      </w:r>
      <w:proofErr w:type="spellStart"/>
      <w:r w:rsidRPr="002666CA">
        <w:rPr>
          <w:rFonts w:eastAsia="Times New Roman" w:cs="Times New Roman"/>
          <w:sz w:val="24"/>
          <w:szCs w:val="24"/>
          <w:lang w:eastAsia="fr-BE"/>
        </w:rPr>
        <w:t>Kraftwerk</w:t>
      </w:r>
      <w:proofErr w:type="spellEnd"/>
      <w:r w:rsidRPr="002666CA">
        <w:rPr>
          <w:rFonts w:eastAsia="Times New Roman" w:cs="Times New Roman"/>
          <w:sz w:val="24"/>
          <w:szCs w:val="24"/>
          <w:lang w:eastAsia="fr-BE"/>
        </w:rPr>
        <w:t xml:space="preserve"> à Zurich) émergent également ailleurs. Ces nouvelles pratiques seront abordées par l’analyse de cas concrets en Région Bruxelles Capitale.</w:t>
      </w:r>
    </w:p>
    <w:bookmarkEnd w:id="1"/>
    <w:p w14:paraId="0E1BF5E3" w14:textId="0E30D948" w:rsidR="00426C29" w:rsidRDefault="00B05FE7" w:rsidP="00B05FE7">
      <w:pPr>
        <w:spacing w:beforeAutospacing="1" w:afterAutospacing="1" w:line="240" w:lineRule="auto"/>
        <w:ind w:left="360"/>
        <w:rPr>
          <w:rFonts w:eastAsia="Times New Roman" w:cs="Times New Roman"/>
          <w:sz w:val="24"/>
          <w:szCs w:val="24"/>
          <w:lang w:eastAsia="fr-BE"/>
        </w:rPr>
      </w:pPr>
      <w:r w:rsidRPr="00B05FE7">
        <w:rPr>
          <w:rFonts w:eastAsia="Times New Roman" w:cs="Times New Roman"/>
          <w:sz w:val="24"/>
          <w:szCs w:val="24"/>
          <w:lang w:eastAsia="fr-BE"/>
        </w:rPr>
        <w:t>La thématique de l'exercice est définie chaque année ; elle propose un objet commun à investiguer sur la base du Mémento et à partir de case-</w:t>
      </w:r>
      <w:proofErr w:type="spellStart"/>
      <w:r w:rsidRPr="00B05FE7">
        <w:rPr>
          <w:rFonts w:eastAsia="Times New Roman" w:cs="Times New Roman"/>
          <w:sz w:val="24"/>
          <w:szCs w:val="24"/>
          <w:lang w:eastAsia="fr-BE"/>
        </w:rPr>
        <w:t>studies</w:t>
      </w:r>
      <w:proofErr w:type="spellEnd"/>
      <w:r w:rsidRPr="00B05FE7">
        <w:rPr>
          <w:rFonts w:eastAsia="Times New Roman" w:cs="Times New Roman"/>
          <w:sz w:val="24"/>
          <w:szCs w:val="24"/>
          <w:lang w:eastAsia="fr-BE"/>
        </w:rPr>
        <w:t>.</w:t>
      </w:r>
      <w:r>
        <w:rPr>
          <w:rFonts w:eastAsia="Times New Roman" w:cs="Times New Roman"/>
          <w:sz w:val="24"/>
          <w:szCs w:val="24"/>
          <w:lang w:eastAsia="fr-BE"/>
        </w:rPr>
        <w:t xml:space="preserve"> </w:t>
      </w:r>
      <w:r w:rsidRPr="00B05FE7">
        <w:rPr>
          <w:rFonts w:eastAsia="Times New Roman" w:cs="Times New Roman"/>
          <w:sz w:val="24"/>
          <w:szCs w:val="24"/>
          <w:lang w:eastAsia="fr-BE"/>
        </w:rPr>
        <w:t>Le cas échéant, cet objet commun peut être partagé avec un atelier d'architecture : le travail des étudiants de l'option est alors considéré comme celui d'un "</w:t>
      </w:r>
      <w:proofErr w:type="spellStart"/>
      <w:r w:rsidRPr="00B05FE7">
        <w:rPr>
          <w:rFonts w:eastAsia="Times New Roman" w:cs="Times New Roman"/>
          <w:sz w:val="24"/>
          <w:szCs w:val="24"/>
          <w:lang w:eastAsia="fr-BE"/>
        </w:rPr>
        <w:t>think</w:t>
      </w:r>
      <w:proofErr w:type="spellEnd"/>
      <w:r w:rsidRPr="00B05FE7">
        <w:rPr>
          <w:rFonts w:eastAsia="Times New Roman" w:cs="Times New Roman"/>
          <w:sz w:val="24"/>
          <w:szCs w:val="24"/>
          <w:lang w:eastAsia="fr-BE"/>
        </w:rPr>
        <w:t xml:space="preserve"> tank" : il produit des études et analyses au service du projet des étudiants de l'atelier.</w:t>
      </w:r>
      <w:r>
        <w:rPr>
          <w:rFonts w:eastAsia="Times New Roman" w:cs="Times New Roman"/>
          <w:sz w:val="24"/>
          <w:szCs w:val="24"/>
          <w:lang w:eastAsia="fr-BE"/>
        </w:rPr>
        <w:t xml:space="preserve"> </w:t>
      </w:r>
      <w:r w:rsidR="00030206">
        <w:rPr>
          <w:rFonts w:eastAsia="Times New Roman" w:cs="Times New Roman"/>
          <w:sz w:val="24"/>
          <w:szCs w:val="24"/>
          <w:lang w:eastAsia="fr-BE"/>
        </w:rPr>
        <w:t>Divers exercices ont permis, ces dernières années, de soutenir la réflexion des étudiants</w:t>
      </w:r>
      <w:r w:rsidR="007D2380">
        <w:rPr>
          <w:rFonts w:eastAsia="Times New Roman" w:cs="Times New Roman"/>
          <w:sz w:val="24"/>
          <w:szCs w:val="24"/>
          <w:lang w:eastAsia="fr-BE"/>
        </w:rPr>
        <w:t> :</w:t>
      </w:r>
      <w:r w:rsidR="00030206">
        <w:rPr>
          <w:rFonts w:eastAsia="Times New Roman" w:cs="Times New Roman"/>
          <w:sz w:val="24"/>
          <w:szCs w:val="24"/>
          <w:lang w:eastAsia="fr-BE"/>
        </w:rPr>
        <w:t xml:space="preserve"> </w:t>
      </w:r>
    </w:p>
    <w:p w14:paraId="29E818AF" w14:textId="665F3283" w:rsidR="00FD6888" w:rsidRDefault="00FD6888">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 xml:space="preserve">2024 : </w:t>
      </w:r>
      <w:r>
        <w:rPr>
          <w:rFonts w:eastAsia="Times New Roman" w:cs="Times New Roman"/>
          <w:sz w:val="24"/>
          <w:szCs w:val="24"/>
          <w:lang w:eastAsia="fr-BE"/>
        </w:rPr>
        <w:t>pas d’exercice cette année, mais une focalisation sur un outil : l’IA sera au centre de nos réflexions pour nous servir de « décapsuleur » à textes, d’explorateur de concepts, de pisteur à idées… à décliner selon les séminaires.</w:t>
      </w:r>
    </w:p>
    <w:p w14:paraId="0296E958" w14:textId="0E7B43E3" w:rsidR="00FD6888" w:rsidRDefault="00FD6888">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 xml:space="preserve">2023 : Repenser la Vesdre à Verviers : </w:t>
      </w:r>
      <w:r>
        <w:rPr>
          <w:rFonts w:eastAsia="Times New Roman" w:cs="Times New Roman"/>
          <w:sz w:val="24"/>
          <w:szCs w:val="24"/>
          <w:lang w:eastAsia="fr-BE"/>
        </w:rPr>
        <w:t>avec l’atelier Terrains, les étudiants ont proposé différents scénarios de d’occupation des terrains dorénavant quasi inconstructibles après les inondations de 2021.</w:t>
      </w:r>
    </w:p>
    <w:p w14:paraId="3B845A88" w14:textId="65BC4459" w:rsidR="009E47E1" w:rsidRPr="009E47E1" w:rsidRDefault="009E47E1">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 xml:space="preserve">2022 : Redéveloppement à Tournai : </w:t>
      </w:r>
      <w:r>
        <w:rPr>
          <w:rFonts w:eastAsia="Times New Roman" w:cs="Times New Roman"/>
          <w:sz w:val="24"/>
          <w:szCs w:val="24"/>
          <w:lang w:eastAsia="fr-BE"/>
        </w:rPr>
        <w:t>en association avec la société immobilière INCLUSIO, les étudiants ont étudié l</w:t>
      </w:r>
      <w:r w:rsidR="00B05FE7">
        <w:rPr>
          <w:rFonts w:eastAsia="Times New Roman" w:cs="Times New Roman"/>
          <w:sz w:val="24"/>
          <w:szCs w:val="24"/>
          <w:lang w:eastAsia="fr-BE"/>
        </w:rPr>
        <w:t>es thématiques de</w:t>
      </w:r>
      <w:r>
        <w:rPr>
          <w:rFonts w:eastAsia="Times New Roman" w:cs="Times New Roman"/>
          <w:sz w:val="24"/>
          <w:szCs w:val="24"/>
          <w:lang w:eastAsia="fr-BE"/>
        </w:rPr>
        <w:t xml:space="preserve"> réhabilitation durable d’un ensemble de 40 logements</w:t>
      </w:r>
      <w:r w:rsidR="00B05FE7">
        <w:rPr>
          <w:rFonts w:eastAsia="Times New Roman" w:cs="Times New Roman"/>
          <w:sz w:val="24"/>
          <w:szCs w:val="24"/>
          <w:lang w:eastAsia="fr-BE"/>
        </w:rPr>
        <w:t xml:space="preserve"> en s’appuyant sur le Mémento</w:t>
      </w:r>
      <w:r>
        <w:rPr>
          <w:rFonts w:eastAsia="Times New Roman" w:cs="Times New Roman"/>
          <w:sz w:val="24"/>
          <w:szCs w:val="24"/>
          <w:lang w:eastAsia="fr-BE"/>
        </w:rPr>
        <w:t>.</w:t>
      </w:r>
    </w:p>
    <w:p w14:paraId="149CDD82" w14:textId="70F8D965" w:rsidR="009E47E1" w:rsidRDefault="009E47E1">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 xml:space="preserve">2021 : L’espace public </w:t>
      </w:r>
      <w:r w:rsidRPr="00131C5E">
        <w:rPr>
          <w:rFonts w:eastAsia="Times New Roman" w:cs="Times New Roman"/>
          <w:b/>
          <w:bCs/>
          <w:sz w:val="24"/>
          <w:szCs w:val="24"/>
          <w:lang w:eastAsia="fr-BE"/>
        </w:rPr>
        <w:t>face aux questions de</w:t>
      </w:r>
      <w:r w:rsidRPr="00131C5E">
        <w:rPr>
          <w:rFonts w:cs="Arial"/>
          <w:b/>
          <w:bCs/>
        </w:rPr>
        <w:t xml:space="preserve"> (1) santé publique, (2) inclusivité, (3) genre et (4) mobilité des personnes fragiles</w:t>
      </w:r>
      <w:r>
        <w:rPr>
          <w:rFonts w:cs="Arial"/>
        </w:rPr>
        <w:t>. Les étudiants ont analysé la normativité (Mémento) par rapport à des questions qui n’y sont pas adéquatement représentées.</w:t>
      </w:r>
    </w:p>
    <w:p w14:paraId="533BDB0A" w14:textId="58687CB0" w:rsidR="00280FEF" w:rsidRDefault="00280FEF">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2019 : « Milano Sud » </w:t>
      </w:r>
      <w:r>
        <w:rPr>
          <w:rFonts w:eastAsia="Times New Roman" w:cs="Times New Roman"/>
          <w:sz w:val="24"/>
          <w:szCs w:val="24"/>
          <w:lang w:eastAsia="fr-BE"/>
        </w:rPr>
        <w:t>: en association avec l’atelier Urban Assemblages, les étudiants ont développé 10 thématiques de réaménagement durable du quartier sud de Milan</w:t>
      </w:r>
      <w:r w:rsidR="007D2380">
        <w:rPr>
          <w:rFonts w:eastAsia="Times New Roman" w:cs="Times New Roman"/>
          <w:sz w:val="24"/>
          <w:szCs w:val="24"/>
          <w:lang w:eastAsia="fr-BE"/>
        </w:rPr>
        <w:t xml:space="preserve"> (</w:t>
      </w:r>
      <w:proofErr w:type="spellStart"/>
      <w:r w:rsidR="007D2380">
        <w:rPr>
          <w:rFonts w:eastAsia="Times New Roman" w:cs="Times New Roman"/>
          <w:sz w:val="24"/>
          <w:szCs w:val="24"/>
          <w:lang w:eastAsia="fr-BE"/>
        </w:rPr>
        <w:t>Gratosoglio</w:t>
      </w:r>
      <w:proofErr w:type="spellEnd"/>
      <w:r w:rsidR="007D2380">
        <w:rPr>
          <w:rFonts w:eastAsia="Times New Roman" w:cs="Times New Roman"/>
          <w:sz w:val="24"/>
          <w:szCs w:val="24"/>
          <w:lang w:eastAsia="fr-BE"/>
        </w:rPr>
        <w:t>)</w:t>
      </w:r>
      <w:r>
        <w:rPr>
          <w:rFonts w:eastAsia="Times New Roman" w:cs="Times New Roman"/>
          <w:sz w:val="24"/>
          <w:szCs w:val="24"/>
          <w:lang w:eastAsia="fr-BE"/>
        </w:rPr>
        <w:t xml:space="preserve">, sur la base du Mémento et de case </w:t>
      </w:r>
      <w:proofErr w:type="spellStart"/>
      <w:r>
        <w:rPr>
          <w:rFonts w:eastAsia="Times New Roman" w:cs="Times New Roman"/>
          <w:sz w:val="24"/>
          <w:szCs w:val="24"/>
          <w:lang w:eastAsia="fr-BE"/>
        </w:rPr>
        <w:t>studies</w:t>
      </w:r>
      <w:proofErr w:type="spellEnd"/>
      <w:r>
        <w:rPr>
          <w:rFonts w:eastAsia="Times New Roman" w:cs="Times New Roman"/>
          <w:sz w:val="24"/>
          <w:szCs w:val="24"/>
          <w:lang w:eastAsia="fr-BE"/>
        </w:rPr>
        <w:t xml:space="preserve"> actuels.</w:t>
      </w:r>
    </w:p>
    <w:p w14:paraId="61B4C347" w14:textId="3729A215" w:rsidR="00735FDD" w:rsidRDefault="00735FDD">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 xml:space="preserve">2018 : « Memento </w:t>
      </w:r>
      <w:proofErr w:type="spellStart"/>
      <w:r>
        <w:rPr>
          <w:rFonts w:eastAsia="Times New Roman" w:cs="Times New Roman"/>
          <w:b/>
          <w:bCs/>
          <w:sz w:val="24"/>
          <w:szCs w:val="24"/>
          <w:lang w:eastAsia="fr-BE"/>
        </w:rPr>
        <w:t>Revisited</w:t>
      </w:r>
      <w:proofErr w:type="spellEnd"/>
      <w:r>
        <w:rPr>
          <w:rFonts w:eastAsia="Times New Roman" w:cs="Times New Roman"/>
          <w:b/>
          <w:bCs/>
          <w:sz w:val="24"/>
          <w:szCs w:val="24"/>
          <w:lang w:eastAsia="fr-BE"/>
        </w:rPr>
        <w:t> »</w:t>
      </w:r>
      <w:r>
        <w:rPr>
          <w:rFonts w:eastAsia="Times New Roman" w:cs="Times New Roman"/>
          <w:bCs/>
          <w:sz w:val="24"/>
          <w:szCs w:val="24"/>
          <w:lang w:eastAsia="fr-BE"/>
        </w:rPr>
        <w:t> : les étudiants ont analysé et comparé plusieurs référentiels de quartier durable bruxellois, wallon, flamand et français (Label Ecoquartiers). Ils en tirent des propositions d’update pour Bruxelles.</w:t>
      </w:r>
    </w:p>
    <w:p w14:paraId="6EB47560" w14:textId="77777777" w:rsidR="00426C29" w:rsidRDefault="00030206">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2016 et 2017 : « Mon ilot durable » </w:t>
      </w:r>
      <w:r>
        <w:rPr>
          <w:rFonts w:eastAsia="Times New Roman" w:cs="Times New Roman"/>
          <w:bCs/>
          <w:sz w:val="24"/>
          <w:szCs w:val="24"/>
          <w:lang w:eastAsia="fr-BE"/>
        </w:rPr>
        <w:t>: les étudiants ont analysé leur propre quartier, à partir des points forts du Mémento ; ils en évaluent le potentiel de durabilité et proposent 3 améliorations liées à un aménagement spatial.</w:t>
      </w:r>
    </w:p>
    <w:p w14:paraId="1C07C403" w14:textId="77777777" w:rsidR="00426C29" w:rsidRDefault="00030206">
      <w:pPr>
        <w:numPr>
          <w:ilvl w:val="0"/>
          <w:numId w:val="4"/>
        </w:numPr>
        <w:spacing w:beforeAutospacing="1" w:afterAutospacing="1" w:line="240" w:lineRule="auto"/>
        <w:rPr>
          <w:rFonts w:eastAsia="Times New Roman" w:cs="Times New Roman"/>
          <w:b/>
          <w:bCs/>
          <w:sz w:val="24"/>
          <w:szCs w:val="24"/>
          <w:lang w:eastAsia="fr-BE"/>
        </w:rPr>
      </w:pPr>
      <w:r>
        <w:rPr>
          <w:rFonts w:eastAsia="Times New Roman" w:cs="Times New Roman"/>
          <w:b/>
          <w:bCs/>
          <w:sz w:val="24"/>
          <w:szCs w:val="24"/>
          <w:lang w:eastAsia="fr-BE"/>
        </w:rPr>
        <w:t xml:space="preserve">2015 : « Comment réhabiter les Casernes Couronne en transformant le bâti qui nous serait transmis. » </w:t>
      </w:r>
      <w:r>
        <w:rPr>
          <w:rFonts w:eastAsia="Times New Roman" w:cs="Times New Roman"/>
          <w:bCs/>
          <w:sz w:val="24"/>
          <w:szCs w:val="24"/>
          <w:lang w:eastAsia="fr-BE"/>
        </w:rPr>
        <w:t xml:space="preserve">Les étudiants, partant d’une hypothèse de type « Never Destroy » (F. </w:t>
      </w:r>
      <w:proofErr w:type="spellStart"/>
      <w:r>
        <w:rPr>
          <w:rFonts w:eastAsia="Times New Roman" w:cs="Times New Roman"/>
          <w:bCs/>
          <w:sz w:val="24"/>
          <w:szCs w:val="24"/>
          <w:lang w:eastAsia="fr-BE"/>
        </w:rPr>
        <w:t>Druot</w:t>
      </w:r>
      <w:proofErr w:type="spellEnd"/>
      <w:r>
        <w:rPr>
          <w:rFonts w:eastAsia="Times New Roman" w:cs="Times New Roman"/>
          <w:bCs/>
          <w:sz w:val="24"/>
          <w:szCs w:val="24"/>
          <w:lang w:eastAsia="fr-BE"/>
        </w:rPr>
        <w:t xml:space="preserve">), ont examiné les potentiels de transformation de l’espace des Casernes, à la lumière d’exemples contemporains et des références du Mémento pour des Quartiers durables (RBC, 2010). Les résultats ont été présentés au workshop du Brussels </w:t>
      </w:r>
      <w:proofErr w:type="spellStart"/>
      <w:r>
        <w:rPr>
          <w:rFonts w:eastAsia="Times New Roman" w:cs="Times New Roman"/>
          <w:bCs/>
          <w:sz w:val="24"/>
          <w:szCs w:val="24"/>
          <w:lang w:eastAsia="fr-BE"/>
        </w:rPr>
        <w:t>University</w:t>
      </w:r>
      <w:proofErr w:type="spellEnd"/>
      <w:r>
        <w:rPr>
          <w:rFonts w:eastAsia="Times New Roman" w:cs="Times New Roman"/>
          <w:bCs/>
          <w:sz w:val="24"/>
          <w:szCs w:val="24"/>
          <w:lang w:eastAsia="fr-BE"/>
        </w:rPr>
        <w:t xml:space="preserve"> Alliance (ULB-VUB) en mai 2016.</w:t>
      </w:r>
    </w:p>
    <w:p w14:paraId="70F75C5C" w14:textId="77777777" w:rsidR="00426C29" w:rsidRDefault="00030206">
      <w:pPr>
        <w:numPr>
          <w:ilvl w:val="0"/>
          <w:numId w:val="4"/>
        </w:numPr>
        <w:spacing w:beforeAutospacing="1" w:afterAutospacing="1" w:line="240" w:lineRule="auto"/>
        <w:outlineLvl w:val="1"/>
        <w:rPr>
          <w:rFonts w:eastAsia="Times New Roman" w:cs="Times New Roman"/>
          <w:b/>
          <w:bCs/>
          <w:sz w:val="36"/>
          <w:szCs w:val="36"/>
          <w:lang w:eastAsia="fr-BE"/>
        </w:rPr>
      </w:pPr>
      <w:r>
        <w:rPr>
          <w:rFonts w:eastAsia="Times New Roman" w:cs="Times New Roman"/>
          <w:b/>
          <w:bCs/>
          <w:sz w:val="24"/>
          <w:szCs w:val="24"/>
          <w:lang w:eastAsia="fr-BE"/>
        </w:rPr>
        <w:t xml:space="preserve">2014 : « Workshop in Forest » </w:t>
      </w:r>
      <w:r>
        <w:rPr>
          <w:rFonts w:eastAsia="Times New Roman" w:cs="Times New Roman"/>
          <w:sz w:val="24"/>
          <w:szCs w:val="24"/>
          <w:lang w:eastAsia="fr-BE"/>
        </w:rPr>
        <w:t xml:space="preserve">Les étudiants ont pris part à un atelier participatif dans le cadre d’un contrat de quartier durable « Abbaye » sur le versant de Forest, et produit une analyse préparatoire concernant la question de la gestion des eaux (technique du </w:t>
      </w:r>
      <w:proofErr w:type="spellStart"/>
      <w:r>
        <w:rPr>
          <w:rFonts w:eastAsia="Times New Roman" w:cs="Times New Roman"/>
          <w:sz w:val="24"/>
          <w:szCs w:val="24"/>
          <w:lang w:eastAsia="fr-BE"/>
        </w:rPr>
        <w:t>Map-it</w:t>
      </w:r>
      <w:proofErr w:type="spellEnd"/>
      <w:r>
        <w:rPr>
          <w:rFonts w:eastAsia="Times New Roman" w:cs="Times New Roman"/>
          <w:sz w:val="24"/>
          <w:szCs w:val="24"/>
          <w:lang w:eastAsia="fr-BE"/>
        </w:rPr>
        <w:t xml:space="preserve"> !) en collaboration avec les chercheurs d’HABITER (M. Ranzato, C. </w:t>
      </w:r>
      <w:proofErr w:type="spellStart"/>
      <w:r>
        <w:rPr>
          <w:rFonts w:eastAsia="Times New Roman" w:cs="Times New Roman"/>
          <w:sz w:val="24"/>
          <w:szCs w:val="24"/>
          <w:lang w:eastAsia="fr-BE"/>
        </w:rPr>
        <w:t>Cotubre</w:t>
      </w:r>
      <w:proofErr w:type="spellEnd"/>
      <w:r>
        <w:rPr>
          <w:rFonts w:eastAsia="Times New Roman" w:cs="Times New Roman"/>
          <w:sz w:val="24"/>
          <w:szCs w:val="24"/>
          <w:lang w:eastAsia="fr-BE"/>
        </w:rPr>
        <w:t>) l’association de riverains et la coordination des États Généraux de l’Eau (</w:t>
      </w:r>
      <w:proofErr w:type="spellStart"/>
      <w:r>
        <w:rPr>
          <w:rFonts w:eastAsia="Times New Roman" w:cs="Times New Roman"/>
          <w:sz w:val="24"/>
          <w:szCs w:val="24"/>
          <w:lang w:eastAsia="fr-BE"/>
        </w:rPr>
        <w:t>Egeb</w:t>
      </w:r>
      <w:proofErr w:type="spellEnd"/>
      <w:r>
        <w:rPr>
          <w:rFonts w:eastAsia="Times New Roman" w:cs="Times New Roman"/>
          <w:sz w:val="24"/>
          <w:szCs w:val="24"/>
          <w:lang w:eastAsia="fr-BE"/>
        </w:rPr>
        <w:t>).</w:t>
      </w:r>
    </w:p>
    <w:p w14:paraId="5C9F3B3E" w14:textId="77777777" w:rsidR="00426C29" w:rsidRDefault="00030206">
      <w:pPr>
        <w:numPr>
          <w:ilvl w:val="0"/>
          <w:numId w:val="4"/>
        </w:numPr>
        <w:spacing w:beforeAutospacing="1" w:afterAutospacing="1" w:line="240" w:lineRule="auto"/>
        <w:outlineLvl w:val="1"/>
        <w:rPr>
          <w:rFonts w:eastAsia="Times New Roman" w:cs="Times New Roman"/>
          <w:sz w:val="24"/>
          <w:szCs w:val="24"/>
          <w:lang w:eastAsia="fr-BE"/>
        </w:rPr>
      </w:pPr>
      <w:r>
        <w:rPr>
          <w:rFonts w:eastAsia="Times New Roman" w:cs="Times New Roman"/>
          <w:b/>
          <w:bCs/>
          <w:sz w:val="24"/>
          <w:szCs w:val="24"/>
          <w:lang w:eastAsia="fr-BE"/>
        </w:rPr>
        <w:lastRenderedPageBreak/>
        <w:t>201</w:t>
      </w:r>
      <w:r w:rsidR="00B649E1">
        <w:rPr>
          <w:rFonts w:eastAsia="Times New Roman" w:cs="Times New Roman"/>
          <w:b/>
          <w:bCs/>
          <w:sz w:val="24"/>
          <w:szCs w:val="24"/>
          <w:lang w:eastAsia="fr-BE"/>
        </w:rPr>
        <w:t>1</w:t>
      </w:r>
      <w:r>
        <w:rPr>
          <w:rFonts w:eastAsia="Times New Roman" w:cs="Times New Roman"/>
          <w:b/>
          <w:bCs/>
          <w:sz w:val="24"/>
          <w:szCs w:val="24"/>
          <w:lang w:eastAsia="fr-BE"/>
        </w:rPr>
        <w:t>/201</w:t>
      </w:r>
      <w:r w:rsidR="00B649E1">
        <w:rPr>
          <w:rFonts w:eastAsia="Times New Roman" w:cs="Times New Roman"/>
          <w:b/>
          <w:bCs/>
          <w:sz w:val="24"/>
          <w:szCs w:val="24"/>
          <w:lang w:eastAsia="fr-BE"/>
        </w:rPr>
        <w:t>3</w:t>
      </w:r>
      <w:r>
        <w:rPr>
          <w:rFonts w:eastAsia="Times New Roman" w:cs="Times New Roman"/>
          <w:b/>
          <w:bCs/>
          <w:sz w:val="24"/>
          <w:szCs w:val="24"/>
          <w:lang w:eastAsia="fr-BE"/>
        </w:rPr>
        <w:t xml:space="preserve"> : « Mesurer le durable dans les quartiers » </w:t>
      </w:r>
      <w:r>
        <w:rPr>
          <w:rFonts w:eastAsia="Times New Roman" w:cs="Times New Roman"/>
          <w:sz w:val="24"/>
          <w:szCs w:val="24"/>
          <w:lang w:eastAsia="fr-BE"/>
        </w:rPr>
        <w:t>Les étudiants ont identifié plusieurs ensembles urbains dans des quartiers bruxellois, qu’ils ont ensuite examinés comme cas d’étude en utilisant de manière critique l’approche méthodologique LEED-ND (</w:t>
      </w:r>
      <w:r>
        <w:rPr>
          <w:rFonts w:eastAsia="Times New Roman" w:cs="Times New Roman"/>
          <w:i/>
          <w:sz w:val="24"/>
          <w:szCs w:val="24"/>
          <w:lang w:eastAsia="fr-BE"/>
        </w:rPr>
        <w:t xml:space="preserve">Leadership in </w:t>
      </w:r>
      <w:proofErr w:type="spellStart"/>
      <w:r>
        <w:rPr>
          <w:rFonts w:eastAsia="Times New Roman" w:cs="Times New Roman"/>
          <w:i/>
          <w:sz w:val="24"/>
          <w:szCs w:val="24"/>
          <w:lang w:eastAsia="fr-BE"/>
        </w:rPr>
        <w:t>Environment</w:t>
      </w:r>
      <w:proofErr w:type="spellEnd"/>
      <w:r>
        <w:rPr>
          <w:rFonts w:eastAsia="Times New Roman" w:cs="Times New Roman"/>
          <w:i/>
          <w:sz w:val="24"/>
          <w:szCs w:val="24"/>
          <w:lang w:eastAsia="fr-BE"/>
        </w:rPr>
        <w:t xml:space="preserve"> and Energy Design – New </w:t>
      </w:r>
      <w:proofErr w:type="spellStart"/>
      <w:r>
        <w:rPr>
          <w:rFonts w:eastAsia="Times New Roman" w:cs="Times New Roman"/>
          <w:i/>
          <w:sz w:val="24"/>
          <w:szCs w:val="24"/>
          <w:lang w:eastAsia="fr-BE"/>
        </w:rPr>
        <w:t>Development</w:t>
      </w:r>
      <w:proofErr w:type="spellEnd"/>
      <w:r>
        <w:rPr>
          <w:rFonts w:eastAsia="Times New Roman" w:cs="Times New Roman"/>
          <w:i/>
          <w:sz w:val="24"/>
          <w:szCs w:val="24"/>
          <w:lang w:eastAsia="fr-BE"/>
        </w:rPr>
        <w:t>,</w:t>
      </w:r>
      <w:r>
        <w:rPr>
          <w:rFonts w:eastAsia="Times New Roman" w:cs="Times New Roman"/>
          <w:sz w:val="24"/>
          <w:szCs w:val="24"/>
          <w:lang w:eastAsia="fr-BE"/>
        </w:rPr>
        <w:t xml:space="preserve"> version 2009-révision 2012).</w:t>
      </w:r>
    </w:p>
    <w:p w14:paraId="63B0A33F" w14:textId="77777777" w:rsidR="00426C29" w:rsidRDefault="00030206">
      <w:pPr>
        <w:numPr>
          <w:ilvl w:val="0"/>
          <w:numId w:val="4"/>
        </w:numPr>
        <w:spacing w:beforeAutospacing="1" w:afterAutospacing="1" w:line="240" w:lineRule="auto"/>
        <w:outlineLvl w:val="1"/>
        <w:rPr>
          <w:rFonts w:eastAsia="Times New Roman" w:cs="Times New Roman"/>
          <w:sz w:val="24"/>
          <w:szCs w:val="24"/>
          <w:lang w:eastAsia="fr-BE"/>
        </w:rPr>
      </w:pPr>
      <w:r>
        <w:rPr>
          <w:rFonts w:eastAsia="Times New Roman" w:cs="Times New Roman"/>
          <w:b/>
          <w:bCs/>
          <w:sz w:val="24"/>
          <w:szCs w:val="24"/>
          <w:lang w:eastAsia="fr-BE"/>
        </w:rPr>
        <w:t xml:space="preserve">2012 : « Green Campus » </w:t>
      </w:r>
      <w:r>
        <w:rPr>
          <w:rFonts w:eastAsia="Times New Roman" w:cs="Times New Roman"/>
          <w:sz w:val="24"/>
          <w:szCs w:val="24"/>
          <w:lang w:eastAsia="fr-BE"/>
        </w:rPr>
        <w:t>Les étudiants se sont intéressés aux potentiels de réaménagement durable du Campus du Solbosch de l’ULB en s’inspirant du Mémento bruxellois pour des Quartiers durables (RBC, 2010), en collaboration avec la Cellule Environnement de l’ULB.</w:t>
      </w:r>
    </w:p>
    <w:p w14:paraId="6E81AD7A" w14:textId="5A79EE0C" w:rsidR="00426C29" w:rsidRPr="008A2711" w:rsidRDefault="00030206" w:rsidP="008A2711">
      <w:pPr>
        <w:spacing w:line="240" w:lineRule="auto"/>
        <w:rPr>
          <w:rFonts w:eastAsia="Times New Roman" w:cs="Times New Roman"/>
          <w:b/>
          <w:bCs/>
          <w:sz w:val="24"/>
          <w:szCs w:val="24"/>
          <w:lang w:eastAsia="fr-BE"/>
        </w:rPr>
      </w:pPr>
      <w:r w:rsidRPr="008A2711">
        <w:rPr>
          <w:rFonts w:eastAsia="Times New Roman" w:cs="Times New Roman"/>
          <w:b/>
          <w:bCs/>
          <w:sz w:val="24"/>
          <w:szCs w:val="24"/>
          <w:lang w:eastAsia="fr-BE"/>
        </w:rPr>
        <w:t xml:space="preserve">Les enseignants </w:t>
      </w:r>
      <w:r w:rsidR="008A2711" w:rsidRPr="008A2711">
        <w:rPr>
          <w:rFonts w:eastAsia="Times New Roman" w:cs="Times New Roman"/>
          <w:b/>
          <w:bCs/>
          <w:sz w:val="24"/>
          <w:szCs w:val="24"/>
          <w:lang w:eastAsia="fr-BE"/>
        </w:rPr>
        <w:t>en AED</w:t>
      </w:r>
      <w:r w:rsidR="00FD6888">
        <w:rPr>
          <w:rFonts w:eastAsia="Times New Roman" w:cs="Times New Roman"/>
          <w:b/>
          <w:bCs/>
          <w:sz w:val="24"/>
          <w:szCs w:val="24"/>
          <w:lang w:eastAsia="fr-BE"/>
        </w:rPr>
        <w:t>1.</w:t>
      </w:r>
    </w:p>
    <w:p w14:paraId="1B3CB5C9" w14:textId="77777777" w:rsidR="00426C29" w:rsidRPr="00A2232E" w:rsidRDefault="00030206" w:rsidP="00A2232E">
      <w:pPr>
        <w:numPr>
          <w:ilvl w:val="0"/>
          <w:numId w:val="8"/>
        </w:numPr>
        <w:spacing w:line="240" w:lineRule="auto"/>
        <w:rPr>
          <w:rFonts w:eastAsia="Times New Roman" w:cs="Times New Roman"/>
          <w:bCs/>
          <w:sz w:val="24"/>
          <w:szCs w:val="24"/>
          <w:lang w:eastAsia="fr-BE"/>
        </w:rPr>
      </w:pPr>
      <w:r w:rsidRPr="009E0304">
        <w:rPr>
          <w:rFonts w:eastAsia="Times New Roman" w:cs="Times New Roman"/>
          <w:b/>
          <w:bCs/>
          <w:sz w:val="24"/>
          <w:szCs w:val="24"/>
          <w:lang w:eastAsia="fr-BE"/>
        </w:rPr>
        <w:t>Bernard DEPREZ</w:t>
      </w:r>
      <w:r w:rsidRPr="00A2232E">
        <w:rPr>
          <w:rFonts w:eastAsia="Times New Roman" w:cs="Times New Roman"/>
          <w:bCs/>
          <w:sz w:val="24"/>
          <w:szCs w:val="24"/>
          <w:lang w:eastAsia="fr-BE"/>
        </w:rPr>
        <w:t xml:space="preserve"> (</w:t>
      </w:r>
      <w:hyperlink r:id="rId8">
        <w:r w:rsidRPr="00A2232E">
          <w:rPr>
            <w:rFonts w:eastAsia="Times New Roman" w:cs="Times New Roman"/>
            <w:bCs/>
            <w:sz w:val="24"/>
            <w:szCs w:val="24"/>
            <w:lang w:eastAsia="fr-BE"/>
          </w:rPr>
          <w:t>benard.deprez@ulb.ac.be</w:t>
        </w:r>
      </w:hyperlink>
      <w:r w:rsidRPr="00A2232E">
        <w:rPr>
          <w:rFonts w:eastAsia="Times New Roman" w:cs="Times New Roman"/>
          <w:bCs/>
          <w:sz w:val="24"/>
          <w:szCs w:val="24"/>
          <w:lang w:eastAsia="fr-BE"/>
        </w:rPr>
        <w:t xml:space="preserve">) : Ingénieur architecte (UCL), master spécialisé en architecture durable (UCL-AA-EPFL), professeur, coordinateur AED ; Facilitateur Quartiers Durables (RBC 2008-2012), rédacteur en chef (2009-2015) </w:t>
      </w:r>
      <w:proofErr w:type="spellStart"/>
      <w:proofErr w:type="gramStart"/>
      <w:r w:rsidRPr="00A2232E">
        <w:rPr>
          <w:rFonts w:eastAsia="Times New Roman" w:cs="Times New Roman"/>
          <w:bCs/>
          <w:sz w:val="24"/>
          <w:szCs w:val="24"/>
          <w:lang w:eastAsia="fr-BE"/>
        </w:rPr>
        <w:t>be.passive</w:t>
      </w:r>
      <w:proofErr w:type="spellEnd"/>
      <w:proofErr w:type="gramEnd"/>
      <w:r w:rsidRPr="00A2232E">
        <w:rPr>
          <w:rFonts w:eastAsia="Times New Roman" w:cs="Times New Roman"/>
          <w:bCs/>
          <w:sz w:val="24"/>
          <w:szCs w:val="24"/>
          <w:lang w:eastAsia="fr-BE"/>
        </w:rPr>
        <w:t xml:space="preserve"> (</w:t>
      </w:r>
      <w:hyperlink r:id="rId9">
        <w:r w:rsidRPr="00A2232E">
          <w:rPr>
            <w:rFonts w:eastAsia="Times New Roman" w:cs="Times New Roman"/>
            <w:bCs/>
            <w:sz w:val="24"/>
            <w:szCs w:val="24"/>
            <w:lang w:eastAsia="fr-BE"/>
          </w:rPr>
          <w:t>www.bepassive.be</w:t>
        </w:r>
      </w:hyperlink>
      <w:r w:rsidR="00A2232E">
        <w:rPr>
          <w:rFonts w:eastAsia="Times New Roman" w:cs="Times New Roman"/>
          <w:bCs/>
          <w:sz w:val="24"/>
          <w:szCs w:val="24"/>
          <w:lang w:eastAsia="fr-BE"/>
        </w:rPr>
        <w:t>).</w:t>
      </w:r>
    </w:p>
    <w:p w14:paraId="14368009" w14:textId="29A5BFC9" w:rsidR="00426C29" w:rsidRDefault="00030206" w:rsidP="00A2232E">
      <w:pPr>
        <w:numPr>
          <w:ilvl w:val="0"/>
          <w:numId w:val="8"/>
        </w:numPr>
        <w:spacing w:line="240" w:lineRule="auto"/>
        <w:rPr>
          <w:rFonts w:eastAsia="Times New Roman" w:cs="Times New Roman"/>
          <w:bCs/>
          <w:sz w:val="24"/>
          <w:szCs w:val="24"/>
          <w:lang w:eastAsia="fr-BE"/>
        </w:rPr>
      </w:pPr>
      <w:r w:rsidRPr="009E0304">
        <w:rPr>
          <w:rFonts w:eastAsia="Times New Roman" w:cs="Times New Roman"/>
          <w:b/>
          <w:bCs/>
          <w:sz w:val="24"/>
          <w:szCs w:val="24"/>
          <w:lang w:eastAsia="fr-BE"/>
        </w:rPr>
        <w:t xml:space="preserve">Jean </w:t>
      </w:r>
      <w:r w:rsidR="007D2380" w:rsidRPr="009E0304">
        <w:rPr>
          <w:rFonts w:eastAsia="Times New Roman" w:cs="Times New Roman"/>
          <w:b/>
          <w:bCs/>
          <w:sz w:val="24"/>
          <w:szCs w:val="24"/>
          <w:lang w:eastAsia="fr-BE"/>
        </w:rPr>
        <w:t>GARCIN</w:t>
      </w:r>
      <w:r w:rsidR="007D2380" w:rsidRPr="00A2232E">
        <w:rPr>
          <w:rFonts w:eastAsia="Times New Roman" w:cs="Times New Roman"/>
          <w:bCs/>
          <w:sz w:val="24"/>
          <w:szCs w:val="24"/>
          <w:lang w:eastAsia="fr-BE"/>
        </w:rPr>
        <w:t xml:space="preserve"> (</w:t>
      </w:r>
      <w:hyperlink r:id="rId10">
        <w:r w:rsidRPr="00A2232E">
          <w:rPr>
            <w:rFonts w:eastAsia="Times New Roman" w:cs="Times New Roman"/>
            <w:bCs/>
            <w:sz w:val="24"/>
            <w:szCs w:val="24"/>
            <w:lang w:eastAsia="fr-BE"/>
          </w:rPr>
          <w:t>jean.garcin@ulb.ac.be</w:t>
        </w:r>
      </w:hyperlink>
      <w:r w:rsidRPr="00A2232E">
        <w:rPr>
          <w:rFonts w:eastAsia="Times New Roman" w:cs="Times New Roman"/>
          <w:bCs/>
          <w:sz w:val="24"/>
          <w:szCs w:val="24"/>
          <w:lang w:eastAsia="fr-BE"/>
        </w:rPr>
        <w:t xml:space="preserve">) : Architecte (ISA la Cambre), certificat universitaire en construction bois (UCL), professeur à l’ENSAV la Cambre / Architecture intérieur. Architecte administrateur Karbon’ </w:t>
      </w:r>
      <w:proofErr w:type="spellStart"/>
      <w:r w:rsidRPr="00A2232E">
        <w:rPr>
          <w:rFonts w:eastAsia="Times New Roman" w:cs="Times New Roman"/>
          <w:bCs/>
          <w:sz w:val="24"/>
          <w:szCs w:val="24"/>
          <w:lang w:eastAsia="fr-BE"/>
        </w:rPr>
        <w:t>scrl</w:t>
      </w:r>
      <w:proofErr w:type="spellEnd"/>
      <w:r w:rsidRPr="00A2232E">
        <w:rPr>
          <w:rFonts w:eastAsia="Times New Roman" w:cs="Times New Roman"/>
          <w:bCs/>
          <w:sz w:val="24"/>
          <w:szCs w:val="24"/>
          <w:lang w:eastAsia="fr-BE"/>
        </w:rPr>
        <w:t xml:space="preserve"> : écoconstruction, urbanisme durable, constructions </w:t>
      </w:r>
      <w:r w:rsidR="00420393" w:rsidRPr="00A2232E">
        <w:rPr>
          <w:rFonts w:eastAsia="Times New Roman" w:cs="Times New Roman"/>
          <w:bCs/>
          <w:sz w:val="24"/>
          <w:szCs w:val="24"/>
          <w:lang w:eastAsia="fr-BE"/>
        </w:rPr>
        <w:t xml:space="preserve">réversibles. </w:t>
      </w:r>
    </w:p>
    <w:p w14:paraId="124B29E0" w14:textId="33D7A74B" w:rsidR="00FD6888" w:rsidRPr="00420393" w:rsidRDefault="00FD6888" w:rsidP="00FD6888">
      <w:pPr>
        <w:numPr>
          <w:ilvl w:val="0"/>
          <w:numId w:val="8"/>
        </w:numPr>
        <w:spacing w:after="120"/>
        <w:contextualSpacing/>
      </w:pPr>
      <w:r w:rsidRPr="00420393">
        <w:rPr>
          <w:b/>
          <w:bCs/>
        </w:rPr>
        <w:t>Benoit QUEVRIN (</w:t>
      </w:r>
      <w:hyperlink r:id="rId11" w:history="1">
        <w:r w:rsidRPr="00420393">
          <w:rPr>
            <w:rStyle w:val="InternetLink"/>
          </w:rPr>
          <w:t>benoit.quevrin@ulb.ac.be</w:t>
        </w:r>
      </w:hyperlink>
      <w:r w:rsidRPr="00420393">
        <w:rPr>
          <w:b/>
          <w:bCs/>
        </w:rPr>
        <w:t xml:space="preserve">) : </w:t>
      </w:r>
      <w:r w:rsidRPr="00420393">
        <w:rPr>
          <w:bCs/>
        </w:rPr>
        <w:t>Ingénieur architecte (</w:t>
      </w:r>
      <w:proofErr w:type="spellStart"/>
      <w:r w:rsidRPr="00420393">
        <w:rPr>
          <w:bCs/>
        </w:rPr>
        <w:t>FPMs</w:t>
      </w:r>
      <w:proofErr w:type="spellEnd"/>
      <w:r w:rsidRPr="00420393">
        <w:rPr>
          <w:bCs/>
        </w:rPr>
        <w:t xml:space="preserve">), coordinateur PMP </w:t>
      </w:r>
      <w:proofErr w:type="spellStart"/>
      <w:r w:rsidRPr="00420393">
        <w:rPr>
          <w:bCs/>
        </w:rPr>
        <w:t>asbl</w:t>
      </w:r>
      <w:proofErr w:type="spellEnd"/>
      <w:r w:rsidRPr="00420393">
        <w:rPr>
          <w:bCs/>
        </w:rPr>
        <w:t xml:space="preserve"> (2007-2014), gestionnaire principal FAAST </w:t>
      </w:r>
      <w:proofErr w:type="spellStart"/>
      <w:r w:rsidRPr="00420393">
        <w:rPr>
          <w:bCs/>
        </w:rPr>
        <w:t>Think</w:t>
      </w:r>
      <w:proofErr w:type="spellEnd"/>
      <w:r w:rsidRPr="00420393">
        <w:rPr>
          <w:bCs/>
        </w:rPr>
        <w:t xml:space="preserve"> Tank (2014-x), rédaction du livre « Les ponts thermiques » (</w:t>
      </w:r>
      <w:proofErr w:type="spellStart"/>
      <w:r w:rsidRPr="00420393">
        <w:rPr>
          <w:bCs/>
        </w:rPr>
        <w:t>ed</w:t>
      </w:r>
      <w:proofErr w:type="spellEnd"/>
      <w:r w:rsidRPr="00420393">
        <w:rPr>
          <w:bCs/>
        </w:rPr>
        <w:t>, PMP), Chargé de cours « design soutenable » (</w:t>
      </w:r>
      <w:proofErr w:type="spellStart"/>
      <w:r w:rsidRPr="00420393">
        <w:rPr>
          <w:bCs/>
        </w:rPr>
        <w:t>UMons</w:t>
      </w:r>
      <w:proofErr w:type="spellEnd"/>
      <w:r w:rsidRPr="00420393">
        <w:rPr>
          <w:bCs/>
        </w:rPr>
        <w:t>).</w:t>
      </w:r>
      <w:r>
        <w:rPr>
          <w:bCs/>
        </w:rPr>
        <w:t xml:space="preserve"> Il a déjà enseigné en AED1 (18-19) et est assistant en BA2 (énergie).</w:t>
      </w:r>
    </w:p>
    <w:p w14:paraId="766E75BB" w14:textId="77777777" w:rsidR="00FD6888" w:rsidRPr="00A2232E" w:rsidRDefault="00FD6888" w:rsidP="00FD6888">
      <w:pPr>
        <w:spacing w:line="240" w:lineRule="auto"/>
        <w:rPr>
          <w:rFonts w:eastAsia="Times New Roman" w:cs="Times New Roman"/>
          <w:bCs/>
          <w:sz w:val="24"/>
          <w:szCs w:val="24"/>
          <w:lang w:eastAsia="fr-BE"/>
        </w:rPr>
      </w:pPr>
    </w:p>
    <w:p w14:paraId="09DA99F0" w14:textId="77777777" w:rsidR="00426C29" w:rsidRDefault="00426C29"/>
    <w:sectPr w:rsidR="00426C29">
      <w:footerReference w:type="default" r:id="rId12"/>
      <w:pgSz w:w="11906" w:h="16838"/>
      <w:pgMar w:top="1417" w:right="1417" w:bottom="1417" w:left="1417" w:header="0" w:footer="0"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ADFC86" w14:textId="77777777" w:rsidR="002F3546" w:rsidRDefault="002F3546" w:rsidP="009D1556">
      <w:pPr>
        <w:spacing w:after="0" w:line="240" w:lineRule="auto"/>
      </w:pPr>
      <w:r>
        <w:separator/>
      </w:r>
    </w:p>
  </w:endnote>
  <w:endnote w:type="continuationSeparator" w:id="0">
    <w:p w14:paraId="03E15FB3" w14:textId="77777777" w:rsidR="002F3546" w:rsidRDefault="002F3546" w:rsidP="009D15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1"/>
    <w:family w:val="swiss"/>
    <w:pitch w:val="variable"/>
  </w:font>
  <w:font w:name="Arial Unicode MS">
    <w:altName w:val="Yu Gothic"/>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92917276"/>
      <w:docPartObj>
        <w:docPartGallery w:val="Page Numbers (Bottom of Page)"/>
        <w:docPartUnique/>
      </w:docPartObj>
    </w:sdtPr>
    <w:sdtContent>
      <w:p w14:paraId="115E80DC" w14:textId="77777777" w:rsidR="009D1556" w:rsidRDefault="009D1556">
        <w:pPr>
          <w:pStyle w:val="Pieddepage"/>
          <w:jc w:val="center"/>
        </w:pPr>
        <w:r>
          <w:fldChar w:fldCharType="begin"/>
        </w:r>
        <w:r>
          <w:instrText>PAGE   \* MERGEFORMAT</w:instrText>
        </w:r>
        <w:r>
          <w:fldChar w:fldCharType="separate"/>
        </w:r>
        <w:r w:rsidR="006B1F24" w:rsidRPr="006B1F24">
          <w:rPr>
            <w:noProof/>
            <w:lang w:val="fr-FR"/>
          </w:rPr>
          <w:t>3</w:t>
        </w:r>
        <w:r>
          <w:fldChar w:fldCharType="end"/>
        </w:r>
      </w:p>
    </w:sdtContent>
  </w:sdt>
  <w:p w14:paraId="71822819" w14:textId="77777777" w:rsidR="009D1556" w:rsidRDefault="009D155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BD8D04" w14:textId="77777777" w:rsidR="002F3546" w:rsidRDefault="002F3546" w:rsidP="009D1556">
      <w:pPr>
        <w:spacing w:after="0" w:line="240" w:lineRule="auto"/>
      </w:pPr>
      <w:r>
        <w:separator/>
      </w:r>
    </w:p>
  </w:footnote>
  <w:footnote w:type="continuationSeparator" w:id="0">
    <w:p w14:paraId="2B9CE118" w14:textId="77777777" w:rsidR="002F3546" w:rsidRDefault="002F3546" w:rsidP="009D15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9354D"/>
    <w:multiLevelType w:val="multilevel"/>
    <w:tmpl w:val="BD5AC62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2D81657A"/>
    <w:multiLevelType w:val="multilevel"/>
    <w:tmpl w:val="83E2119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cs="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E071163"/>
    <w:multiLevelType w:val="multilevel"/>
    <w:tmpl w:val="56FC9A30"/>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
      <w:lvlJc w:val="left"/>
      <w:pPr>
        <w:tabs>
          <w:tab w:val="num" w:pos="1440"/>
        </w:tabs>
        <w:ind w:left="1440" w:hanging="360"/>
      </w:pPr>
      <w:rPr>
        <w:rFonts w:ascii="Times New Roman" w:hAnsi="Times New Roman" w:cs="Times New Roman"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Times New Roman" w:hAnsi="Times New Roman" w:cs="Times New Roman" w:hint="default"/>
      </w:rPr>
    </w:lvl>
    <w:lvl w:ilvl="4">
      <w:start w:val="1"/>
      <w:numFmt w:val="bullet"/>
      <w:lvlText w:val="•"/>
      <w:lvlJc w:val="left"/>
      <w:pPr>
        <w:tabs>
          <w:tab w:val="num" w:pos="3600"/>
        </w:tabs>
        <w:ind w:left="3600" w:hanging="360"/>
      </w:pPr>
      <w:rPr>
        <w:rFonts w:ascii="Times New Roman" w:hAnsi="Times New Roman" w:cs="Times New Roman" w:hint="default"/>
      </w:rPr>
    </w:lvl>
    <w:lvl w:ilvl="5">
      <w:start w:val="1"/>
      <w:numFmt w:val="bullet"/>
      <w:lvlText w:val="•"/>
      <w:lvlJc w:val="left"/>
      <w:pPr>
        <w:tabs>
          <w:tab w:val="num" w:pos="4320"/>
        </w:tabs>
        <w:ind w:left="4320" w:hanging="360"/>
      </w:pPr>
      <w:rPr>
        <w:rFonts w:ascii="Times New Roman" w:hAnsi="Times New Roman" w:cs="Times New Roman" w:hint="default"/>
      </w:rPr>
    </w:lvl>
    <w:lvl w:ilvl="6">
      <w:start w:val="1"/>
      <w:numFmt w:val="bullet"/>
      <w:lvlText w:val="•"/>
      <w:lvlJc w:val="left"/>
      <w:pPr>
        <w:tabs>
          <w:tab w:val="num" w:pos="5040"/>
        </w:tabs>
        <w:ind w:left="5040" w:hanging="360"/>
      </w:pPr>
      <w:rPr>
        <w:rFonts w:ascii="Times New Roman" w:hAnsi="Times New Roman" w:cs="Times New Roman" w:hint="default"/>
      </w:rPr>
    </w:lvl>
    <w:lvl w:ilvl="7">
      <w:start w:val="1"/>
      <w:numFmt w:val="bullet"/>
      <w:lvlText w:val="•"/>
      <w:lvlJc w:val="left"/>
      <w:pPr>
        <w:tabs>
          <w:tab w:val="num" w:pos="5760"/>
        </w:tabs>
        <w:ind w:left="5760" w:hanging="360"/>
      </w:pPr>
      <w:rPr>
        <w:rFonts w:ascii="Times New Roman" w:hAnsi="Times New Roman" w:cs="Times New Roman" w:hint="default"/>
      </w:rPr>
    </w:lvl>
    <w:lvl w:ilvl="8">
      <w:start w:val="1"/>
      <w:numFmt w:val="bullet"/>
      <w:lvlText w:val="•"/>
      <w:lvlJc w:val="left"/>
      <w:pPr>
        <w:tabs>
          <w:tab w:val="num" w:pos="6480"/>
        </w:tabs>
        <w:ind w:left="6480" w:hanging="360"/>
      </w:pPr>
      <w:rPr>
        <w:rFonts w:ascii="Times New Roman" w:hAnsi="Times New Roman" w:cs="Times New Roman" w:hint="default"/>
      </w:rPr>
    </w:lvl>
  </w:abstractNum>
  <w:abstractNum w:abstractNumId="3" w15:restartNumberingAfterBreak="0">
    <w:nsid w:val="3DDA1631"/>
    <w:multiLevelType w:val="multilevel"/>
    <w:tmpl w:val="1EAC2156"/>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51310965"/>
    <w:multiLevelType w:val="multilevel"/>
    <w:tmpl w:val="2F845A7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57411039"/>
    <w:multiLevelType w:val="multilevel"/>
    <w:tmpl w:val="40D6BCE8"/>
    <w:lvl w:ilvl="0">
      <w:start w:val="1"/>
      <w:numFmt w:val="bullet"/>
      <w:lvlText w:val=""/>
      <w:lvlJc w:val="left"/>
      <w:pPr>
        <w:tabs>
          <w:tab w:val="num" w:pos="720"/>
        </w:tabs>
        <w:ind w:left="720" w:hanging="360"/>
      </w:pPr>
      <w:rPr>
        <w:rFonts w:ascii="Symbol" w:hAnsi="Symbol" w:cs="Symbol" w:hint="default"/>
        <w:sz w:val="24"/>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6" w15:restartNumberingAfterBreak="0">
    <w:nsid w:val="69A76909"/>
    <w:multiLevelType w:val="multilevel"/>
    <w:tmpl w:val="98BCF63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7" w15:restartNumberingAfterBreak="0">
    <w:nsid w:val="6B236952"/>
    <w:multiLevelType w:val="multilevel"/>
    <w:tmpl w:val="BD5AC62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16cid:durableId="413280346">
    <w:abstractNumId w:val="1"/>
  </w:num>
  <w:num w:numId="2" w16cid:durableId="2318592">
    <w:abstractNumId w:val="5"/>
  </w:num>
  <w:num w:numId="3" w16cid:durableId="617302397">
    <w:abstractNumId w:val="4"/>
  </w:num>
  <w:num w:numId="4" w16cid:durableId="1030178912">
    <w:abstractNumId w:val="3"/>
  </w:num>
  <w:num w:numId="5" w16cid:durableId="272516560">
    <w:abstractNumId w:val="2"/>
  </w:num>
  <w:num w:numId="6" w16cid:durableId="1847937881">
    <w:abstractNumId w:val="6"/>
  </w:num>
  <w:num w:numId="7" w16cid:durableId="962426689">
    <w:abstractNumId w:val="0"/>
  </w:num>
  <w:num w:numId="8" w16cid:durableId="11302476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C29"/>
    <w:rsid w:val="00030206"/>
    <w:rsid w:val="00131C5E"/>
    <w:rsid w:val="001B26B7"/>
    <w:rsid w:val="002666CA"/>
    <w:rsid w:val="00274C9F"/>
    <w:rsid w:val="00280FEF"/>
    <w:rsid w:val="002820F9"/>
    <w:rsid w:val="002D520E"/>
    <w:rsid w:val="002F3546"/>
    <w:rsid w:val="00347FDC"/>
    <w:rsid w:val="003A71BE"/>
    <w:rsid w:val="003F73D3"/>
    <w:rsid w:val="00420393"/>
    <w:rsid w:val="00426C29"/>
    <w:rsid w:val="00671454"/>
    <w:rsid w:val="006A5B4D"/>
    <w:rsid w:val="006B1F24"/>
    <w:rsid w:val="00711676"/>
    <w:rsid w:val="00735FDD"/>
    <w:rsid w:val="00761436"/>
    <w:rsid w:val="007D2380"/>
    <w:rsid w:val="008A2711"/>
    <w:rsid w:val="00920A90"/>
    <w:rsid w:val="0094727C"/>
    <w:rsid w:val="009D1556"/>
    <w:rsid w:val="009E0304"/>
    <w:rsid w:val="009E47E1"/>
    <w:rsid w:val="00A2232E"/>
    <w:rsid w:val="00A44091"/>
    <w:rsid w:val="00A50FCE"/>
    <w:rsid w:val="00AF4C4D"/>
    <w:rsid w:val="00B05FE7"/>
    <w:rsid w:val="00B34191"/>
    <w:rsid w:val="00B649E1"/>
    <w:rsid w:val="00B917F6"/>
    <w:rsid w:val="00B9348C"/>
    <w:rsid w:val="00BF5BF1"/>
    <w:rsid w:val="00C8372B"/>
    <w:rsid w:val="00CC61D0"/>
    <w:rsid w:val="00CD4FB8"/>
    <w:rsid w:val="00D07E86"/>
    <w:rsid w:val="00D154CC"/>
    <w:rsid w:val="00D64202"/>
    <w:rsid w:val="00D842AC"/>
    <w:rsid w:val="00DB4F9B"/>
    <w:rsid w:val="00DD713D"/>
    <w:rsid w:val="00E078E9"/>
    <w:rsid w:val="00E50345"/>
    <w:rsid w:val="00E669B1"/>
    <w:rsid w:val="00F641BB"/>
    <w:rsid w:val="00F7470E"/>
    <w:rsid w:val="00FD6888"/>
  </w:rsids>
  <m:mathPr>
    <m:mathFont m:val="Cambria Math"/>
    <m:brkBin m:val="before"/>
    <m:brkBinSub m:val="--"/>
    <m:smallFrac m:val="0"/>
    <m:dispDef/>
    <m:lMargin m:val="0"/>
    <m:rMargin m:val="0"/>
    <m:defJc m:val="centerGroup"/>
    <m:wrapIndent m:val="1440"/>
    <m:intLim m:val="subSup"/>
    <m:naryLim m:val="undOvr"/>
  </m:mathPr>
  <w:themeFontLang w:val="fr-BE"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796AB"/>
  <w15:docId w15:val="{93348366-B4A0-4F48-898C-D2FC79AEB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style>
  <w:style w:type="paragraph" w:styleId="Titre2">
    <w:name w:val="heading 2"/>
    <w:basedOn w:val="Normal"/>
    <w:link w:val="Titre2Car"/>
    <w:uiPriority w:val="9"/>
    <w:qFormat/>
    <w:rsid w:val="002E31BB"/>
    <w:pPr>
      <w:spacing w:beforeAutospacing="1" w:afterAutospacing="1" w:line="240" w:lineRule="auto"/>
      <w:outlineLvl w:val="1"/>
    </w:pPr>
    <w:rPr>
      <w:rFonts w:ascii="Times New Roman" w:eastAsia="Times New Roman" w:hAnsi="Times New Roman" w:cs="Times New Roman"/>
      <w:b/>
      <w:bCs/>
      <w:sz w:val="36"/>
      <w:szCs w:val="36"/>
      <w:lang w:eastAsia="fr-BE"/>
    </w:rPr>
  </w:style>
  <w:style w:type="paragraph" w:styleId="Titre3">
    <w:name w:val="heading 3"/>
    <w:basedOn w:val="Normal"/>
    <w:link w:val="Titre3Car"/>
    <w:uiPriority w:val="9"/>
    <w:qFormat/>
    <w:rsid w:val="002E31BB"/>
    <w:pPr>
      <w:spacing w:beforeAutospacing="1" w:afterAutospacing="1" w:line="240" w:lineRule="auto"/>
      <w:outlineLvl w:val="2"/>
    </w:pPr>
    <w:rPr>
      <w:rFonts w:ascii="Times New Roman" w:eastAsia="Times New Roman" w:hAnsi="Times New Roman" w:cs="Times New Roman"/>
      <w:b/>
      <w:bCs/>
      <w:sz w:val="27"/>
      <w:szCs w:val="27"/>
      <w:lang w:eastAsia="fr-B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qFormat/>
    <w:rsid w:val="002E31BB"/>
    <w:rPr>
      <w:rFonts w:ascii="Times New Roman" w:eastAsia="Times New Roman" w:hAnsi="Times New Roman" w:cs="Times New Roman"/>
      <w:b/>
      <w:bCs/>
      <w:sz w:val="36"/>
      <w:szCs w:val="36"/>
      <w:lang w:eastAsia="fr-BE"/>
    </w:rPr>
  </w:style>
  <w:style w:type="character" w:customStyle="1" w:styleId="Titre3Car">
    <w:name w:val="Titre 3 Car"/>
    <w:basedOn w:val="Policepardfaut"/>
    <w:link w:val="Titre3"/>
    <w:uiPriority w:val="9"/>
    <w:qFormat/>
    <w:rsid w:val="002E31BB"/>
    <w:rPr>
      <w:rFonts w:ascii="Times New Roman" w:eastAsia="Times New Roman" w:hAnsi="Times New Roman" w:cs="Times New Roman"/>
      <w:b/>
      <w:bCs/>
      <w:sz w:val="27"/>
      <w:szCs w:val="27"/>
      <w:lang w:eastAsia="fr-BE"/>
    </w:rPr>
  </w:style>
  <w:style w:type="character" w:customStyle="1" w:styleId="InternetLink">
    <w:name w:val="Internet Link"/>
    <w:basedOn w:val="Policepardfaut"/>
    <w:uiPriority w:val="99"/>
    <w:unhideWhenUsed/>
    <w:rsid w:val="002E31BB"/>
    <w:rPr>
      <w:color w:val="0000FF"/>
      <w:u w:val="single"/>
    </w:rPr>
  </w:style>
  <w:style w:type="character" w:styleId="lev">
    <w:name w:val="Strong"/>
    <w:basedOn w:val="Policepardfaut"/>
    <w:uiPriority w:val="22"/>
    <w:qFormat/>
    <w:rsid w:val="002E31BB"/>
    <w:rPr>
      <w:b/>
      <w:bCs/>
    </w:rPr>
  </w:style>
  <w:style w:type="character" w:styleId="Accentuation">
    <w:name w:val="Emphasis"/>
    <w:basedOn w:val="Policepardfaut"/>
    <w:uiPriority w:val="20"/>
    <w:qFormat/>
    <w:rsid w:val="002E31BB"/>
    <w:rPr>
      <w:i/>
      <w:iCs/>
    </w:rPr>
  </w:style>
  <w:style w:type="character" w:customStyle="1" w:styleId="ListLabel1">
    <w:name w:val="ListLabel 1"/>
    <w:qFormat/>
    <w:rPr>
      <w:sz w:val="20"/>
    </w:rPr>
  </w:style>
  <w:style w:type="character" w:customStyle="1" w:styleId="ListLabel2">
    <w:name w:val="ListLabel 2"/>
    <w:qFormat/>
    <w:rPr>
      <w:sz w:val="20"/>
    </w:rPr>
  </w:style>
  <w:style w:type="character" w:customStyle="1" w:styleId="ListLabel3">
    <w:name w:val="ListLabel 3"/>
    <w:qFormat/>
    <w:rPr>
      <w:sz w:val="20"/>
    </w:rPr>
  </w:style>
  <w:style w:type="character" w:customStyle="1" w:styleId="ListLabel4">
    <w:name w:val="ListLabel 4"/>
    <w:qFormat/>
    <w:rPr>
      <w:sz w:val="20"/>
    </w:rPr>
  </w:style>
  <w:style w:type="character" w:customStyle="1" w:styleId="ListLabel5">
    <w:name w:val="ListLabel 5"/>
    <w:qFormat/>
    <w:rPr>
      <w:sz w:val="20"/>
    </w:rPr>
  </w:style>
  <w:style w:type="character" w:customStyle="1" w:styleId="ListLabel6">
    <w:name w:val="ListLabel 6"/>
    <w:qFormat/>
    <w:rPr>
      <w:sz w:val="20"/>
    </w:rPr>
  </w:style>
  <w:style w:type="character" w:customStyle="1" w:styleId="ListLabel7">
    <w:name w:val="ListLabel 7"/>
    <w:qFormat/>
    <w:rPr>
      <w:sz w:val="20"/>
    </w:rPr>
  </w:style>
  <w:style w:type="character" w:customStyle="1" w:styleId="ListLabel8">
    <w:name w:val="ListLabel 8"/>
    <w:qFormat/>
    <w:rPr>
      <w:sz w:val="20"/>
    </w:rPr>
  </w:style>
  <w:style w:type="character" w:customStyle="1" w:styleId="ListLabel9">
    <w:name w:val="ListLabel 9"/>
    <w:qFormat/>
    <w:rPr>
      <w:sz w:val="20"/>
    </w:rPr>
  </w:style>
  <w:style w:type="character" w:customStyle="1" w:styleId="ListLabel10">
    <w:name w:val="ListLabel 10"/>
    <w:qFormat/>
    <w:rPr>
      <w:sz w:val="24"/>
    </w:rPr>
  </w:style>
  <w:style w:type="character" w:customStyle="1" w:styleId="ListLabel11">
    <w:name w:val="ListLabel 11"/>
    <w:qFormat/>
    <w:rPr>
      <w:sz w:val="20"/>
    </w:rPr>
  </w:style>
  <w:style w:type="character" w:customStyle="1" w:styleId="ListLabel12">
    <w:name w:val="ListLabel 12"/>
    <w:qFormat/>
    <w:rPr>
      <w:sz w:val="20"/>
    </w:rPr>
  </w:style>
  <w:style w:type="character" w:customStyle="1" w:styleId="ListLabel13">
    <w:name w:val="ListLabel 13"/>
    <w:qFormat/>
    <w:rPr>
      <w:sz w:val="20"/>
    </w:rPr>
  </w:style>
  <w:style w:type="character" w:customStyle="1" w:styleId="ListLabel14">
    <w:name w:val="ListLabel 14"/>
    <w:qFormat/>
    <w:rPr>
      <w:sz w:val="20"/>
    </w:rPr>
  </w:style>
  <w:style w:type="character" w:customStyle="1" w:styleId="ListLabel15">
    <w:name w:val="ListLabel 15"/>
    <w:qFormat/>
    <w:rPr>
      <w:sz w:val="20"/>
    </w:rPr>
  </w:style>
  <w:style w:type="character" w:customStyle="1" w:styleId="ListLabel16">
    <w:name w:val="ListLabel 16"/>
    <w:qFormat/>
    <w:rPr>
      <w:sz w:val="20"/>
    </w:rPr>
  </w:style>
  <w:style w:type="character" w:customStyle="1" w:styleId="ListLabel17">
    <w:name w:val="ListLabel 17"/>
    <w:qFormat/>
    <w:rPr>
      <w:sz w:val="20"/>
    </w:rPr>
  </w:style>
  <w:style w:type="character" w:customStyle="1" w:styleId="ListLabel18">
    <w:name w:val="ListLabel 18"/>
    <w:qFormat/>
    <w:rPr>
      <w:sz w:val="20"/>
    </w:rPr>
  </w:style>
  <w:style w:type="paragraph" w:customStyle="1" w:styleId="Heading">
    <w:name w:val="Heading"/>
    <w:basedOn w:val="Normal"/>
    <w:next w:val="Corpsdetexte"/>
    <w:qFormat/>
    <w:pPr>
      <w:keepNext/>
      <w:spacing w:before="240" w:after="120"/>
    </w:pPr>
    <w:rPr>
      <w:rFonts w:ascii="Liberation Sans" w:eastAsia="Arial Unicode MS" w:hAnsi="Liberation Sans" w:cs="Arial Unicode MS"/>
      <w:sz w:val="28"/>
      <w:szCs w:val="28"/>
    </w:rPr>
  </w:style>
  <w:style w:type="paragraph" w:styleId="Corpsdetexte">
    <w:name w:val="Body Text"/>
    <w:basedOn w:val="Normal"/>
    <w:pPr>
      <w:spacing w:after="140" w:line="288" w:lineRule="auto"/>
    </w:pPr>
  </w:style>
  <w:style w:type="paragraph" w:styleId="Liste">
    <w:name w:val="List"/>
    <w:basedOn w:val="Corpsdetexte"/>
  </w:style>
  <w:style w:type="paragraph" w:styleId="Lgende">
    <w:name w:val="caption"/>
    <w:basedOn w:val="Normal"/>
    <w:qFormat/>
    <w:pPr>
      <w:suppressLineNumbers/>
      <w:spacing w:before="120" w:after="120"/>
    </w:pPr>
    <w:rPr>
      <w:i/>
      <w:iCs/>
      <w:sz w:val="24"/>
      <w:szCs w:val="24"/>
    </w:rPr>
  </w:style>
  <w:style w:type="paragraph" w:customStyle="1" w:styleId="Index">
    <w:name w:val="Index"/>
    <w:basedOn w:val="Normal"/>
    <w:qFormat/>
    <w:pPr>
      <w:suppressLineNumbers/>
    </w:pPr>
  </w:style>
  <w:style w:type="paragraph" w:styleId="NormalWeb">
    <w:name w:val="Normal (Web)"/>
    <w:basedOn w:val="Normal"/>
    <w:uiPriority w:val="99"/>
    <w:semiHidden/>
    <w:unhideWhenUsed/>
    <w:qFormat/>
    <w:rsid w:val="002E31BB"/>
    <w:pPr>
      <w:spacing w:beforeAutospacing="1" w:afterAutospacing="1" w:line="240" w:lineRule="auto"/>
    </w:pPr>
    <w:rPr>
      <w:rFonts w:ascii="Times New Roman" w:eastAsia="Times New Roman" w:hAnsi="Times New Roman" w:cs="Times New Roman"/>
      <w:sz w:val="24"/>
      <w:szCs w:val="24"/>
      <w:lang w:eastAsia="fr-BE"/>
    </w:rPr>
  </w:style>
  <w:style w:type="character" w:styleId="Lienhypertexte">
    <w:name w:val="Hyperlink"/>
    <w:basedOn w:val="Policepardfaut"/>
    <w:uiPriority w:val="99"/>
    <w:unhideWhenUsed/>
    <w:rsid w:val="00420393"/>
    <w:rPr>
      <w:color w:val="0000FF"/>
      <w:u w:val="single"/>
    </w:rPr>
  </w:style>
  <w:style w:type="paragraph" w:styleId="En-tte">
    <w:name w:val="header"/>
    <w:basedOn w:val="Normal"/>
    <w:link w:val="En-tteCar"/>
    <w:uiPriority w:val="99"/>
    <w:unhideWhenUsed/>
    <w:rsid w:val="009D1556"/>
    <w:pPr>
      <w:tabs>
        <w:tab w:val="center" w:pos="4536"/>
        <w:tab w:val="right" w:pos="9072"/>
      </w:tabs>
      <w:spacing w:after="0" w:line="240" w:lineRule="auto"/>
    </w:pPr>
  </w:style>
  <w:style w:type="character" w:customStyle="1" w:styleId="En-tteCar">
    <w:name w:val="En-tête Car"/>
    <w:basedOn w:val="Policepardfaut"/>
    <w:link w:val="En-tte"/>
    <w:uiPriority w:val="99"/>
    <w:rsid w:val="009D1556"/>
  </w:style>
  <w:style w:type="paragraph" w:styleId="Pieddepage">
    <w:name w:val="footer"/>
    <w:basedOn w:val="Normal"/>
    <w:link w:val="PieddepageCar"/>
    <w:uiPriority w:val="99"/>
    <w:unhideWhenUsed/>
    <w:rsid w:val="009D155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9D1556"/>
  </w:style>
  <w:style w:type="paragraph" w:styleId="Textedebulles">
    <w:name w:val="Balloon Text"/>
    <w:basedOn w:val="Normal"/>
    <w:link w:val="TextedebullesCar"/>
    <w:uiPriority w:val="99"/>
    <w:semiHidden/>
    <w:unhideWhenUsed/>
    <w:rsid w:val="00711676"/>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711676"/>
    <w:rPr>
      <w:rFonts w:ascii="Segoe UI" w:hAnsi="Segoe UI" w:cs="Segoe UI"/>
      <w:sz w:val="18"/>
      <w:szCs w:val="18"/>
    </w:rPr>
  </w:style>
  <w:style w:type="character" w:styleId="Mentionnonrsolue">
    <w:name w:val="Unresolved Mention"/>
    <w:basedOn w:val="Policepardfaut"/>
    <w:uiPriority w:val="99"/>
    <w:semiHidden/>
    <w:unhideWhenUsed/>
    <w:rsid w:val="007D2380"/>
    <w:rPr>
      <w:color w:val="605E5C"/>
      <w:shd w:val="clear" w:color="auto" w:fill="E1DFDD"/>
    </w:rPr>
  </w:style>
  <w:style w:type="paragraph" w:styleId="Notedebasdepage">
    <w:name w:val="footnote text"/>
    <w:basedOn w:val="Normal"/>
    <w:link w:val="NotedebasdepageCar"/>
    <w:uiPriority w:val="99"/>
    <w:semiHidden/>
    <w:unhideWhenUsed/>
    <w:rsid w:val="009E47E1"/>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9E47E1"/>
    <w:rPr>
      <w:sz w:val="20"/>
      <w:szCs w:val="20"/>
    </w:rPr>
  </w:style>
  <w:style w:type="character" w:styleId="Appelnotedebasdep">
    <w:name w:val="footnote reference"/>
    <w:basedOn w:val="Policepardfaut"/>
    <w:uiPriority w:val="99"/>
    <w:semiHidden/>
    <w:unhideWhenUsed/>
    <w:rsid w:val="009E47E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17457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nard.deprez@ulb.ac.b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bepassive.b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benoit.quevrin@ulb.ac.be" TargetMode="External"/><Relationship Id="rId5" Type="http://schemas.openxmlformats.org/officeDocument/2006/relationships/footnotes" Target="footnotes.xml"/><Relationship Id="rId10" Type="http://schemas.openxmlformats.org/officeDocument/2006/relationships/hyperlink" Target="mailto:jean.garcin@ulb.ac.be" TargetMode="External"/><Relationship Id="rId4" Type="http://schemas.openxmlformats.org/officeDocument/2006/relationships/webSettings" Target="webSettings.xml"/><Relationship Id="rId9" Type="http://schemas.openxmlformats.org/officeDocument/2006/relationships/hyperlink" Target="http://www.bepassive.be/"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1262</Words>
  <Characters>6947</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Bernard Deprez</dc:creator>
  <cp:lastModifiedBy>Bernard Deprez</cp:lastModifiedBy>
  <cp:revision>2</cp:revision>
  <cp:lastPrinted>2020-09-11T08:58:00Z</cp:lastPrinted>
  <dcterms:created xsi:type="dcterms:W3CDTF">2024-09-06T07:20:00Z</dcterms:created>
  <dcterms:modified xsi:type="dcterms:W3CDTF">2024-09-06T07:20:00Z</dcterms:modified>
  <dc:language>fr-BE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